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D2" w:rsidRPr="00334DD2" w:rsidRDefault="00334DD2" w:rsidP="00334DD2">
      <w:pPr>
        <w:ind w:firstLine="357"/>
        <w:jc w:val="center"/>
        <w:outlineLvl w:val="1"/>
        <w:rPr>
          <w:rFonts w:cs="Arial Unicode MS"/>
          <w:b/>
          <w:sz w:val="28"/>
          <w:szCs w:val="28"/>
        </w:rPr>
      </w:pPr>
      <w:r w:rsidRPr="00334DD2">
        <w:rPr>
          <w:rFonts w:cs="Arial Unicode MS"/>
          <w:b/>
          <w:sz w:val="28"/>
          <w:szCs w:val="28"/>
        </w:rPr>
        <w:t>ЗАКЛЮЧЕНИЕ</w:t>
      </w:r>
    </w:p>
    <w:p w:rsidR="00334DD2" w:rsidRPr="00334DD2" w:rsidRDefault="00334DD2" w:rsidP="00334DD2">
      <w:pPr>
        <w:ind w:firstLine="357"/>
        <w:jc w:val="center"/>
        <w:outlineLvl w:val="1"/>
        <w:rPr>
          <w:rFonts w:cs="Arial Unicode MS"/>
          <w:b/>
          <w:sz w:val="28"/>
          <w:szCs w:val="28"/>
        </w:rPr>
      </w:pPr>
      <w:r w:rsidRPr="00334DD2">
        <w:rPr>
          <w:rFonts w:cs="Arial Unicode MS"/>
          <w:b/>
          <w:sz w:val="28"/>
          <w:szCs w:val="28"/>
        </w:rPr>
        <w:t xml:space="preserve">группы наблюдателей от Межпарламентской Ассамблеи </w:t>
      </w:r>
    </w:p>
    <w:p w:rsidR="00334DD2" w:rsidRPr="00334DD2" w:rsidRDefault="00334DD2" w:rsidP="00334DD2">
      <w:pPr>
        <w:ind w:firstLine="357"/>
        <w:jc w:val="center"/>
        <w:outlineLvl w:val="1"/>
        <w:rPr>
          <w:rFonts w:cs="Arial Unicode MS"/>
          <w:b/>
          <w:sz w:val="28"/>
          <w:szCs w:val="28"/>
        </w:rPr>
      </w:pPr>
      <w:r w:rsidRPr="00334DD2">
        <w:rPr>
          <w:rFonts w:cs="Arial Unicode MS"/>
          <w:b/>
          <w:sz w:val="28"/>
          <w:szCs w:val="28"/>
        </w:rPr>
        <w:t>государств — участников Содружества Независимых Государств</w:t>
      </w:r>
    </w:p>
    <w:p w:rsidR="00334DD2" w:rsidRPr="00334DD2" w:rsidRDefault="00334DD2" w:rsidP="00334DD2">
      <w:pPr>
        <w:ind w:firstLine="357"/>
        <w:jc w:val="center"/>
        <w:outlineLvl w:val="1"/>
        <w:rPr>
          <w:rFonts w:cs="Arial Unicode MS"/>
          <w:b/>
          <w:sz w:val="28"/>
          <w:szCs w:val="28"/>
        </w:rPr>
      </w:pPr>
      <w:bookmarkStart w:id="0" w:name="bookmark1"/>
      <w:r w:rsidRPr="00334DD2">
        <w:rPr>
          <w:rFonts w:cs="Arial Unicode MS"/>
          <w:b/>
          <w:sz w:val="28"/>
          <w:szCs w:val="28"/>
        </w:rPr>
        <w:t>на внеочередных выборах в Национальное Собрание Республики Армения</w:t>
      </w:r>
      <w:bookmarkStart w:id="1" w:name="bookmark2"/>
      <w:bookmarkEnd w:id="0"/>
      <w:r w:rsidRPr="00334DD2">
        <w:rPr>
          <w:rFonts w:cs="Arial Unicode MS"/>
          <w:b/>
          <w:sz w:val="28"/>
          <w:szCs w:val="28"/>
        </w:rPr>
        <w:br/>
        <w:t>9 декабря 2018 года</w:t>
      </w:r>
      <w:bookmarkEnd w:id="1"/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9 декабря 2018 года состоялись внеочередные выборы в Национальное Собрание Республики Армения седьмого созыва.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По приглашению Председателя Национального Собрания Республики Армения А. С.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Баблояна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для проведения мониторинга подготовки и проведения выборов была сформирована группа международных наблюдателей от МПА СНГ, в состав которой вошли депутаты и представители высших законодательных органов власти из шести государств – участников МПА СНГ,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>соблюдения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избирательных прав граждан государств – участников МПА СНГ (МИМРД МПА СНГ).</w:t>
      </w:r>
    </w:p>
    <w:p w:rsidR="00334DD2" w:rsidRPr="00334DD2" w:rsidRDefault="00334DD2" w:rsidP="00334DD2">
      <w:pPr>
        <w:ind w:firstLine="709"/>
        <w:jc w:val="both"/>
        <w:rPr>
          <w:sz w:val="28"/>
          <w:szCs w:val="28"/>
        </w:rPr>
      </w:pPr>
      <w:r w:rsidRPr="00334DD2">
        <w:rPr>
          <w:sz w:val="28"/>
          <w:szCs w:val="28"/>
        </w:rPr>
        <w:t>Распоряжением Председателя Совета МПА СНГ В. И. Матвиенко № 4</w:t>
      </w:r>
      <w:r w:rsidRPr="00334DD2">
        <w:rPr>
          <w:sz w:val="28"/>
          <w:szCs w:val="28"/>
        </w:rPr>
        <w:noBreakHyphen/>
        <w:t xml:space="preserve">рп от 21 ноября 2018 года координатором группы наблюдателей от МПА СНГ для мониторинга выборов в Национальное Собрание Республики Армения был назначен заместитель Председателя </w:t>
      </w:r>
      <w:proofErr w:type="spellStart"/>
      <w:r w:rsidRPr="00334DD2">
        <w:rPr>
          <w:sz w:val="28"/>
          <w:szCs w:val="28"/>
        </w:rPr>
        <w:t>Жогорку</w:t>
      </w:r>
      <w:proofErr w:type="spellEnd"/>
      <w:r w:rsidRPr="00334DD2">
        <w:rPr>
          <w:sz w:val="28"/>
          <w:szCs w:val="28"/>
        </w:rPr>
        <w:t xml:space="preserve"> </w:t>
      </w:r>
      <w:proofErr w:type="spellStart"/>
      <w:r w:rsidRPr="00334DD2">
        <w:rPr>
          <w:sz w:val="28"/>
          <w:szCs w:val="28"/>
        </w:rPr>
        <w:t>Кенеша</w:t>
      </w:r>
      <w:proofErr w:type="spellEnd"/>
      <w:r w:rsidRPr="00334DD2">
        <w:rPr>
          <w:sz w:val="28"/>
          <w:szCs w:val="28"/>
        </w:rPr>
        <w:t xml:space="preserve"> Кыргызской Республики М. И. Бакиров.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По итогам осуществленного анализа правовой базы проведения внеочередных выборов в Национальное Собрание Республики Армения наблюдатели от МПА СНГ пришли к выводу, что порядок организации и проведения внеочередных выборов в Национальное Собрание в значительной степени способствует выполнению Республикой Армения международных обязательств в области проведения демократических выборов. Осуществляемое на национальном уровне регулирование по преимуществу обеспечивает необходимые нормативные условия для участия граждан в парламентских выборах на основе всеобщего, равного и прямого избирательного права, тайного голосования и свободного волеизъявления. Закрепление в списках кандидатов в депутаты гендерной квоты, а также представительства в парламенте национальных меньшинств, проживающих в Республике Армения, допускается основополагающими международными документами.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Вместе с тем присутствующие в законодательстве ограничения, которыми не допускается проведение голосования за рубежом, голосования вне помещений избирательного участка и каких-либо иных видов дистанционного голосования (за исключением электронного голосования для крайне узкой по своему составу группы избирателей), а также досрочного голосования, влекут за собой ущемление прав нескольких групп избирателей, включая лиц с ограниченными физическими возможностями, постоянно </w:t>
      </w:r>
      <w:r w:rsidRPr="00334DD2">
        <w:rPr>
          <w:rFonts w:cs="Verdana"/>
          <w:kern w:val="1"/>
          <w:sz w:val="28"/>
          <w:szCs w:val="28"/>
          <w:lang w:eastAsia="zh-CN" w:bidi="hi-IN"/>
        </w:rPr>
        <w:lastRenderedPageBreak/>
        <w:t>проживающих в Республике Армения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, и очевидным образом не соответствуют принципу всеобщего избирательного права.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Работа Центральной избирательной комиссии Республики Армения строилась с соблюдением сроков, предусмотренных Календарным планом основных мероприятий по подготовке и проведению внеочередных выборов в Национальное Собрание Республики Армения.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Наблюдатели от МПА СНГ отмечают организованное и с соблюдением установленных сроков формирование окружными избирательными комиссиями совместно с местными органами власти избирательных участков, выделение помещений для их работы и проведения голосования.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Партии и блоки, имеющие фракции в Национальном Собрании Республики Армения по итогам предыдущих выборов, своевременно назначили своих представителей в составы участковых комиссий, а оставшиеся вакантными места были оперативно заполнены по представлению соответствующих окружных комиссий. В определенные Календарным планом сроки ЦИК провела распределение между партиями и блоками должностей председателей и секретарей участковых избирательных комиссий.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В целях более качественной организации избирательного процесса Центральная избирательная комиссия выпустила практическое пособие для окружных комиссий и памятку участковым комиссиям, видеофильмы об использовании технического оборудования и о порядке голосования, а также ряд брошюр и пособий для участников избирательного процесса.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Полиция Республики Армения как уполномоченный государственный орган, отвечающий за ведение реестра избирателей, своевременно представила сведения о числе избирателей и их списки в ЦИК, а также проводила уточнение списка избирателей, в том числе на основании заявлений граждан. Всего в итоговый список избирателей включено 2 573 779 человек. В дополнительные списки по месту нахождения в день голосования включены 12 549 человек, временно исключенных из списков по месту постоянной регистрации.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Центральная избирательная комиссия своевременно осуществила регистрацию списков кандидатов от девяти политических партий и двух избирательных блоков, заявивших о своем желании участвовать в выборах.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 ходе избирательной кампании наблюдатели от МПА СНГ не зафиксировали обращений и жалоб, связанных с качеством администрирования выборов.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Сокращенные сроки избирательной кампании, предусмотренные действующим законодательством для проведения внеочередных выборов, отразились на формах и способах ведения предвыборной агитации, равно как и на активности ее участников. Им была предоставлена возможность использования эфирного времени на теле- и радиоканалах. Впервые в истории парламентских выборов, проводимых в Республике Армения, были организованы общенациональные дебаты с участием всех кандидатов, </w:t>
      </w:r>
      <w:r w:rsidRPr="00334DD2">
        <w:rPr>
          <w:rFonts w:cs="Verdana"/>
          <w:kern w:val="1"/>
          <w:sz w:val="28"/>
          <w:szCs w:val="28"/>
          <w:lang w:eastAsia="zh-CN" w:bidi="hi-IN"/>
        </w:rPr>
        <w:lastRenderedPageBreak/>
        <w:t xml:space="preserve">возглавляющих списки партий и блоков, участвующих в избирательной кампании.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 целях компенсации ограниченности по времени агитационных возможностей участниками избирательной кампании широко применялась агитация с использованием социальных сетей.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В целом кампания, по мнению наблюдателей от МПА СНГ, проходила в конкурентной борьбе. Политическим силам, участвующим в выборах, были созданы достаточные возможности для доведения своей точки зрения до сведения избирателей.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В наблюдении за выборами в Национальное Собрание Республики Армения участвовали более 500 международных наблюдателей, представлявших миссии СНГ (84 наблюдателя), в том числе группа наблюдателей от МПА СНГ (23 наблюдателя), ПА СЕ, ПА ОБСЕ, ОБСЕ/БДИПЧ, Европейского парламента и неправительственные организации. Со стороны гражданского общества Республики Армения за процессом голосования наблюдали более 17 500 аккредитованных ЦИК наблюдателей, представляющих 22 национальные общественные организации.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В ходе долгосрочного мониторинга члены группы наблюдателей от МПА СНГ провели в Ереване встречи с руководством ЦИК и Полиции Республики Армения, а также с представителями четырех участвующих в выборах политических партий и избирательных блоков. Участниками встреч не было высказано замечаний к качеству администрирования выборов.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 рамках краткосрочного мониторинга 7 декабря 2018 года состоялась встреча наблюдателей от МПА СНГ с начальником Паспортно-визового управления Полиции Республики Армения М. Ф.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Бичахчяном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>, который рассказал о проведенной его подразделением работе по уточнению списков избирателей и предоставил сведения о численности избирателей по различным категориям, числе обращений граждан по внесению изменений и дополнений в избирательные списки, а также о количестве и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</w:t>
      </w: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>содержании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поступивших жалоб.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8 декабря 2018 года наблюдатели провели встречу с Председателем Центральной избирательной комиссии Республики Армения Т. Т.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Мукучяном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, который проинформировал их о степени готовности избирательной системы страны </w:t>
      </w: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>к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дню голосования, акцентировав внимание наблюдателей на особенностях системы голосования, применяемой в Армении, и наличии контрольных механизмов по защите избирательных прав граждан.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>В тот же день состоялись встречи членов группы наблюдателей от МПА СНГ с кандидатами в депутаты и руководителями штабов избирательного блока «Мой шаг», Республиканской партии Армении и партии «Процветающая Армения», на которых до сведения наблюдателей была доведена оценка разными политическими силами действующего избирательного законодательства, а также представлены индивидуальные стратегии проведения агитационной кампании.</w:t>
      </w:r>
      <w:proofErr w:type="gramEnd"/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lastRenderedPageBreak/>
        <w:t xml:space="preserve">В день выборов, 9 декабря 2018 года, группа осуществляла наблюдение за процессом голосования на всех его этапах. Члены группы наблюдателей от МПА СНГ провели мониторинг голосования на 89 избирательных участках в Ереване, населенных пунктах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марзов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(областей) Арарат,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Арагацотн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,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Гегаркуник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и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Котайк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>, а также посетили две окружные избирательные комиссии, где получили обобщенные данные о ходе голосования в округах на момент посещения.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Все посещенные избирательные участки были открыты вовремя, обеспечены документами, необходимым оборудованием и информационными материалами для проведения голосования.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Выборы проводились с применением технического оборудования для идентификации граждан, в том числе с использованием биометрических данных, а также видеонаблюдения на большинстве участков. Использование подобной системы, по мнению наблюдателей, практически исключает вероятность многократного голосования, совершаемого одними и теми же лицами, а также предоставление искаженных данных о результатах голосования. Наблюдатели в течение дня имели возможность неоднократно проверить осуществление прямой трансляции с избирательных участков на официальном сайте ЦИК. Кроме того, </w:t>
      </w: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>контроль за</w:t>
      </w:r>
      <w:proofErr w:type="gram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ходом голосования осуществлялся доверенными лицами кандидатов и национальными наблюдателями.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proofErr w:type="gramStart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Вместе с тем наблюдатели от МПА СНГ отмечают, что помещения для голосования на ряде участков были не в полной мере приспособлены для проведения голосования, а также располагались на вторых этажах зданий, чем были вызваны трудности для пожилых людей и инвалидов, и в связи с этим считают необходимым рекомендовать продолжить деятельность по созданию </w:t>
      </w:r>
      <w:proofErr w:type="spellStart"/>
      <w:r w:rsidRPr="00334DD2">
        <w:rPr>
          <w:rFonts w:cs="Verdana"/>
          <w:kern w:val="1"/>
          <w:sz w:val="28"/>
          <w:szCs w:val="28"/>
          <w:lang w:eastAsia="zh-CN" w:bidi="hi-IN"/>
        </w:rPr>
        <w:t>безбарьерной</w:t>
      </w:r>
      <w:proofErr w:type="spellEnd"/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 среды для избирателей с ограниченными возможностями.</w:t>
      </w:r>
      <w:proofErr w:type="gramEnd"/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Помимо этого, в ходе общения с председателями и членами участковых избирательных комиссий международным наблюдателям высказывалось мнение, что применяемая в настоящее время пропорциональная рейтинговая система голосования создает определенные трудности в процессе голосования и при подсчете голосов.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>Отдельные технические недостатки, отмеченные наблюдателями на ряде посещенных участков, не носили системного характера и не оказали влияния на волеизъявление граждан.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kern w:val="1"/>
          <w:sz w:val="28"/>
          <w:szCs w:val="28"/>
          <w:lang w:eastAsia="zh-CN" w:bidi="hi-IN"/>
        </w:rPr>
        <w:t xml:space="preserve">В день голосования члены группы наблюдателей от МПА СНГ провели встречу с главой миссии наблюдателей БДИПЧ ОБСЕ, послом У. Гачек. В ходе состоявшегося обмена мнениями о процессе голосования на посещенных международными наблюдателями участках было отмечено, что оно проходит в спокойной, бесконфликтной обстановке. Стороны согласились с необходимостью в дальнейшем закрепления в избирательном праве гарантий для граждан, которые по состоянию здоровья не могут присутствовать на участках в день голосования. Кроме того, учитывая возрастающее значение в ходе агитации социальных сетей, стороны </w:t>
      </w:r>
      <w:r w:rsidRPr="00334DD2">
        <w:rPr>
          <w:rFonts w:cs="Verdana"/>
          <w:kern w:val="1"/>
          <w:sz w:val="28"/>
          <w:szCs w:val="28"/>
          <w:lang w:eastAsia="zh-CN" w:bidi="hi-IN"/>
        </w:rPr>
        <w:lastRenderedPageBreak/>
        <w:t>договорились о целесообразности изучения данного вопроса на экспертном уровне для совершенствования методологии наблюдения за выборами.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b/>
          <w:kern w:val="1"/>
          <w:sz w:val="28"/>
          <w:szCs w:val="28"/>
          <w:lang w:eastAsia="zh-CN" w:bidi="hi-IN"/>
        </w:rPr>
      </w:pPr>
      <w:r w:rsidRPr="00334DD2">
        <w:rPr>
          <w:rFonts w:cs="Verdana"/>
          <w:b/>
          <w:kern w:val="1"/>
          <w:sz w:val="28"/>
          <w:szCs w:val="28"/>
          <w:lang w:eastAsia="zh-CN" w:bidi="hi-IN"/>
        </w:rPr>
        <w:t xml:space="preserve">По итогам мониторинга группа международных наблюдателей от МПА СНГ пришла к выводу, что Центральной избирательной комиссией, окружными и участковыми избирательными комиссиями, уполномоченными органами государственной власти Республики Армения проделана значительная работа по подготовке голосования в условиях сокращенных сроков избирательной кампании.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b/>
          <w:kern w:val="1"/>
          <w:sz w:val="28"/>
          <w:szCs w:val="28"/>
          <w:lang w:eastAsia="zh-CN" w:bidi="hi-IN"/>
        </w:rPr>
      </w:pPr>
      <w:r w:rsidRPr="00334DD2">
        <w:rPr>
          <w:rFonts w:cs="Verdana"/>
          <w:b/>
          <w:kern w:val="1"/>
          <w:sz w:val="28"/>
          <w:szCs w:val="28"/>
          <w:lang w:eastAsia="zh-CN" w:bidi="hi-IN"/>
        </w:rPr>
        <w:t xml:space="preserve">Участие в выборах 11 политических партий и избирательных блоков обеспечило их состязательность и </w:t>
      </w:r>
      <w:proofErr w:type="spellStart"/>
      <w:r w:rsidRPr="00334DD2">
        <w:rPr>
          <w:rFonts w:cs="Verdana"/>
          <w:b/>
          <w:kern w:val="1"/>
          <w:sz w:val="28"/>
          <w:szCs w:val="28"/>
          <w:lang w:eastAsia="zh-CN" w:bidi="hi-IN"/>
        </w:rPr>
        <w:t>конкурентность</w:t>
      </w:r>
      <w:proofErr w:type="spellEnd"/>
      <w:r w:rsidRPr="00334DD2">
        <w:rPr>
          <w:rFonts w:cs="Verdana"/>
          <w:b/>
          <w:kern w:val="1"/>
          <w:sz w:val="28"/>
          <w:szCs w:val="28"/>
          <w:lang w:eastAsia="zh-CN" w:bidi="hi-IN"/>
        </w:rPr>
        <w:t xml:space="preserve">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b/>
          <w:kern w:val="1"/>
          <w:sz w:val="28"/>
          <w:szCs w:val="28"/>
          <w:lang w:eastAsia="zh-CN" w:bidi="hi-IN"/>
        </w:rPr>
      </w:pPr>
      <w:r w:rsidRPr="00334DD2">
        <w:rPr>
          <w:rFonts w:cs="Verdana"/>
          <w:b/>
          <w:kern w:val="1"/>
          <w:sz w:val="28"/>
          <w:szCs w:val="28"/>
          <w:lang w:eastAsia="zh-CN" w:bidi="hi-IN"/>
        </w:rPr>
        <w:t xml:space="preserve">Средства массовой информации предоставили гражданам Республики Армения сведения о политических партиях и блоках, участвующих в выборах, и ключевых положениях их программ. 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b/>
          <w:kern w:val="1"/>
          <w:sz w:val="28"/>
          <w:szCs w:val="28"/>
          <w:lang w:eastAsia="zh-CN" w:bidi="hi-IN"/>
        </w:rPr>
      </w:pPr>
      <w:r w:rsidRPr="00334DD2">
        <w:rPr>
          <w:rFonts w:cs="Verdana"/>
          <w:b/>
          <w:kern w:val="1"/>
          <w:sz w:val="28"/>
          <w:szCs w:val="28"/>
          <w:lang w:eastAsia="zh-CN" w:bidi="hi-IN"/>
        </w:rPr>
        <w:t>При организации и проведении выборов обеспечивалось соблюдение статуса международных наблюдателей и оказывалось необходимое содействие в их работе.</w:t>
      </w:r>
    </w:p>
    <w:p w:rsidR="00334DD2" w:rsidRPr="00334DD2" w:rsidRDefault="00334DD2" w:rsidP="00334DD2">
      <w:pPr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  <w:r w:rsidRPr="00334DD2">
        <w:rPr>
          <w:rFonts w:cs="Verdana"/>
          <w:b/>
          <w:kern w:val="1"/>
          <w:sz w:val="28"/>
          <w:szCs w:val="28"/>
          <w:lang w:eastAsia="zh-CN" w:bidi="hi-IN"/>
        </w:rPr>
        <w:t>Таким образом, подготовка и проведение внеочередных выборов в Национальное Собрание Республики Армения 9 декабря 2018 года были осуществлены в соответствии с нормами национального избирательного законодательства и международного права, в ходе голосования было обеспечено свободное волеизъявление граждан Республики Армения</w:t>
      </w:r>
      <w:r w:rsidRPr="00334DD2">
        <w:rPr>
          <w:rFonts w:cs="Verdana"/>
          <w:kern w:val="1"/>
          <w:sz w:val="28"/>
          <w:szCs w:val="28"/>
          <w:lang w:eastAsia="zh-CN" w:bidi="hi-IN"/>
        </w:rPr>
        <w:t>.</w:t>
      </w:r>
    </w:p>
    <w:p w:rsidR="00334DD2" w:rsidRPr="00334DD2" w:rsidRDefault="00334DD2" w:rsidP="00334DD2">
      <w:pPr>
        <w:widowControl w:val="0"/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</w:p>
    <w:p w:rsidR="00334DD2" w:rsidRPr="00334DD2" w:rsidRDefault="00334DD2" w:rsidP="00334DD2">
      <w:pPr>
        <w:widowControl w:val="0"/>
        <w:suppressAutoHyphens/>
        <w:ind w:firstLine="709"/>
        <w:jc w:val="both"/>
        <w:rPr>
          <w:rFonts w:cs="Verdana"/>
          <w:kern w:val="1"/>
          <w:sz w:val="28"/>
          <w:szCs w:val="28"/>
          <w:lang w:eastAsia="zh-CN" w:bidi="hi-IN"/>
        </w:rPr>
      </w:pPr>
    </w:p>
    <w:p w:rsidR="00334DD2" w:rsidRPr="00334DD2" w:rsidRDefault="00334DD2" w:rsidP="00334DD2">
      <w:pPr>
        <w:tabs>
          <w:tab w:val="left" w:pos="4928"/>
        </w:tabs>
        <w:ind w:firstLine="357"/>
        <w:rPr>
          <w:rFonts w:ascii="Calibri" w:hAnsi="Calibri"/>
          <w:color w:val="000000"/>
          <w:sz w:val="28"/>
          <w:szCs w:val="28"/>
        </w:rPr>
      </w:pPr>
      <w:r w:rsidRPr="00334DD2">
        <w:rPr>
          <w:color w:val="000000"/>
          <w:sz w:val="28"/>
          <w:szCs w:val="28"/>
        </w:rPr>
        <w:t xml:space="preserve">М. И. Бакиров </w:t>
      </w:r>
      <w:r w:rsidRPr="00334DD2">
        <w:rPr>
          <w:color w:val="000000"/>
          <w:sz w:val="28"/>
          <w:szCs w:val="28"/>
        </w:rPr>
        <w:tab/>
        <w:t xml:space="preserve">Р. Ш. </w:t>
      </w:r>
      <w:proofErr w:type="spellStart"/>
      <w:r w:rsidRPr="00334DD2">
        <w:rPr>
          <w:color w:val="000000"/>
          <w:sz w:val="28"/>
          <w:szCs w:val="28"/>
        </w:rPr>
        <w:t>Шорахматов</w:t>
      </w:r>
      <w:proofErr w:type="spellEnd"/>
    </w:p>
    <w:p w:rsidR="00334DD2" w:rsidRP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rFonts w:cs="Arial Unicode MS"/>
          <w:color w:val="000000"/>
          <w:sz w:val="28"/>
          <w:szCs w:val="28"/>
        </w:rPr>
        <w:t xml:space="preserve">Т. С. Долгошей </w:t>
      </w:r>
      <w:r w:rsidRPr="00334DD2">
        <w:rPr>
          <w:rFonts w:cs="Arial Unicode MS"/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 xml:space="preserve">Н. Р. </w:t>
      </w:r>
      <w:proofErr w:type="spellStart"/>
      <w:r w:rsidRPr="00334DD2">
        <w:rPr>
          <w:color w:val="000000"/>
          <w:sz w:val="28"/>
          <w:szCs w:val="28"/>
        </w:rPr>
        <w:t>Риоев</w:t>
      </w:r>
      <w:proofErr w:type="spellEnd"/>
    </w:p>
    <w:p w:rsidR="00334DD2" w:rsidRP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rFonts w:cs="Arial Unicode MS"/>
          <w:color w:val="000000"/>
          <w:sz w:val="28"/>
          <w:szCs w:val="28"/>
        </w:rPr>
        <w:t xml:space="preserve">С. К. </w:t>
      </w:r>
      <w:proofErr w:type="spellStart"/>
      <w:r w:rsidRPr="00334DD2">
        <w:rPr>
          <w:rFonts w:cs="Arial Unicode MS"/>
          <w:color w:val="000000"/>
          <w:sz w:val="28"/>
          <w:szCs w:val="28"/>
        </w:rPr>
        <w:t>Енсегенов</w:t>
      </w:r>
      <w:proofErr w:type="spellEnd"/>
      <w:r w:rsidRPr="00334DD2">
        <w:rPr>
          <w:rFonts w:cs="Arial Unicode MS"/>
          <w:color w:val="000000"/>
          <w:sz w:val="28"/>
          <w:szCs w:val="28"/>
        </w:rPr>
        <w:t xml:space="preserve"> </w:t>
      </w:r>
      <w:r w:rsidRPr="00334DD2">
        <w:rPr>
          <w:rFonts w:cs="Arial Unicode MS"/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>Ю. Л. Осипов</w:t>
      </w:r>
    </w:p>
    <w:p w:rsid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rFonts w:cs="Arial Unicode MS"/>
          <w:color w:val="000000"/>
          <w:sz w:val="28"/>
          <w:szCs w:val="28"/>
        </w:rPr>
        <w:t xml:space="preserve">Ю. Е. Тимощенко </w:t>
      </w:r>
      <w:r w:rsidRPr="00334DD2">
        <w:rPr>
          <w:rFonts w:cs="Arial Unicode MS"/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>В. Г. Когут</w:t>
      </w:r>
    </w:p>
    <w:p w:rsidR="00334DD2" w:rsidRPr="00334DD2" w:rsidRDefault="00334DD2" w:rsidP="00334DD2">
      <w:pPr>
        <w:ind w:firstLine="357"/>
        <w:jc w:val="both"/>
        <w:rPr>
          <w:color w:val="000000"/>
          <w:sz w:val="28"/>
          <w:szCs w:val="28"/>
        </w:rPr>
      </w:pPr>
      <w:r w:rsidRPr="00334DD2">
        <w:rPr>
          <w:color w:val="000000"/>
          <w:sz w:val="28"/>
          <w:szCs w:val="28"/>
        </w:rPr>
        <w:t xml:space="preserve">М. Э. </w:t>
      </w:r>
      <w:proofErr w:type="spellStart"/>
      <w:r w:rsidRPr="00334DD2">
        <w:rPr>
          <w:color w:val="000000"/>
          <w:sz w:val="28"/>
          <w:szCs w:val="28"/>
        </w:rPr>
        <w:t>Сабиров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>Н. А. Сатвалдиев</w:t>
      </w:r>
    </w:p>
    <w:p w:rsidR="00334DD2" w:rsidRP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color w:val="000000"/>
          <w:sz w:val="28"/>
          <w:szCs w:val="28"/>
        </w:rPr>
        <w:t xml:space="preserve">Т. А. </w:t>
      </w:r>
      <w:proofErr w:type="spellStart"/>
      <w:r w:rsidRPr="00334DD2">
        <w:rPr>
          <w:color w:val="000000"/>
          <w:sz w:val="28"/>
          <w:szCs w:val="28"/>
        </w:rPr>
        <w:t>Кусайко</w:t>
      </w:r>
      <w:proofErr w:type="spellEnd"/>
      <w:r w:rsidRPr="00334DD2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>В. Х. Иову</w:t>
      </w:r>
    </w:p>
    <w:p w:rsidR="00334DD2" w:rsidRP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rFonts w:cs="Arial Unicode MS"/>
          <w:color w:val="000000"/>
          <w:sz w:val="28"/>
          <w:szCs w:val="28"/>
        </w:rPr>
        <w:t xml:space="preserve">А. П. </w:t>
      </w:r>
      <w:proofErr w:type="spellStart"/>
      <w:r w:rsidRPr="00334DD2">
        <w:rPr>
          <w:rFonts w:cs="Arial Unicode MS"/>
          <w:color w:val="000000"/>
          <w:sz w:val="28"/>
          <w:szCs w:val="28"/>
        </w:rPr>
        <w:t>Водолацкий</w:t>
      </w:r>
      <w:proofErr w:type="spellEnd"/>
      <w:r w:rsidRPr="00334DD2">
        <w:rPr>
          <w:rFonts w:cs="Arial Unicode MS"/>
          <w:color w:val="000000"/>
          <w:sz w:val="28"/>
          <w:szCs w:val="28"/>
        </w:rPr>
        <w:tab/>
      </w:r>
      <w:r w:rsidRPr="00334DD2">
        <w:rPr>
          <w:color w:val="000000"/>
          <w:sz w:val="28"/>
          <w:szCs w:val="28"/>
        </w:rPr>
        <w:t xml:space="preserve">Д. Г. Гладей </w:t>
      </w:r>
    </w:p>
    <w:p w:rsidR="00334DD2" w:rsidRPr="00334DD2" w:rsidRDefault="00334DD2" w:rsidP="00334DD2">
      <w:pPr>
        <w:ind w:firstLine="357"/>
        <w:jc w:val="both"/>
        <w:rPr>
          <w:color w:val="000000"/>
          <w:sz w:val="28"/>
          <w:szCs w:val="28"/>
        </w:rPr>
      </w:pPr>
    </w:p>
    <w:p w:rsidR="00334DD2" w:rsidRPr="00334DD2" w:rsidRDefault="00334DD2" w:rsidP="00334DD2">
      <w:pPr>
        <w:tabs>
          <w:tab w:val="left" w:pos="4928"/>
        </w:tabs>
        <w:ind w:firstLine="357"/>
        <w:rPr>
          <w:color w:val="000000"/>
          <w:sz w:val="28"/>
          <w:szCs w:val="28"/>
        </w:rPr>
      </w:pPr>
      <w:r w:rsidRPr="00334DD2">
        <w:rPr>
          <w:color w:val="000000"/>
          <w:sz w:val="28"/>
          <w:szCs w:val="28"/>
        </w:rPr>
        <w:tab/>
      </w:r>
    </w:p>
    <w:p w:rsidR="00334DD2" w:rsidRPr="00334DD2" w:rsidRDefault="00334DD2" w:rsidP="00334DD2">
      <w:pPr>
        <w:ind w:firstLine="357"/>
        <w:jc w:val="both"/>
        <w:rPr>
          <w:rFonts w:cs="Arial Unicode MS"/>
          <w:color w:val="000000"/>
          <w:sz w:val="28"/>
          <w:szCs w:val="28"/>
        </w:rPr>
      </w:pPr>
      <w:r w:rsidRPr="00334DD2">
        <w:rPr>
          <w:rFonts w:cs="Arial Unicode MS"/>
          <w:color w:val="000000"/>
          <w:sz w:val="28"/>
          <w:szCs w:val="28"/>
        </w:rPr>
        <w:t>Ереван, 9 декабря 2018 года</w:t>
      </w:r>
    </w:p>
    <w:p w:rsidR="00BB6BD3" w:rsidRPr="00334DD2" w:rsidRDefault="00334DD2">
      <w:pPr>
        <w:rPr>
          <w:sz w:val="28"/>
          <w:szCs w:val="28"/>
        </w:rPr>
      </w:pPr>
      <w:bookmarkStart w:id="2" w:name="_GoBack"/>
      <w:bookmarkEnd w:id="2"/>
    </w:p>
    <w:sectPr w:rsidR="00BB6BD3" w:rsidRPr="00334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DD2"/>
    <w:rsid w:val="00334DD2"/>
    <w:rsid w:val="003D3586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4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4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1799</Words>
  <Characters>10259</Characters>
  <Application>Microsoft Office Word</Application>
  <DocSecurity>0</DocSecurity>
  <Lines>85</Lines>
  <Paragraphs>24</Paragraphs>
  <ScaleCrop>false</ScaleCrop>
  <Company/>
  <LinksUpToDate>false</LinksUpToDate>
  <CharactersWithSpaces>12034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2021-05-24T06:26:00Z</dcterms:created>
  <dcterms:modified xsi:type="dcterms:W3CDTF">2021-05-24T06:28:00Z</dcterms:modified>
</cp:coreProperties>
</file>