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5DE" w:rsidRPr="001045DE" w:rsidRDefault="001045DE" w:rsidP="001045DE">
      <w:pPr>
        <w:spacing w:after="120"/>
        <w:jc w:val="center"/>
        <w:rPr>
          <w:b/>
          <w:sz w:val="28"/>
          <w:szCs w:val="28"/>
        </w:rPr>
      </w:pPr>
      <w:bookmarkStart w:id="0" w:name="_GoBack"/>
      <w:bookmarkEnd w:id="0"/>
      <w:r w:rsidRPr="001045DE">
        <w:rPr>
          <w:b/>
          <w:sz w:val="28"/>
          <w:szCs w:val="28"/>
        </w:rPr>
        <w:t>З А К Л Ю Ч Е Н И Е</w:t>
      </w:r>
    </w:p>
    <w:p w:rsidR="001045DE" w:rsidRPr="001045DE" w:rsidRDefault="001045DE" w:rsidP="001045DE">
      <w:pPr>
        <w:spacing w:after="120"/>
        <w:jc w:val="center"/>
        <w:rPr>
          <w:b/>
          <w:sz w:val="28"/>
          <w:szCs w:val="28"/>
        </w:rPr>
      </w:pPr>
      <w:r w:rsidRPr="001045DE">
        <w:rPr>
          <w:b/>
          <w:sz w:val="28"/>
          <w:szCs w:val="28"/>
        </w:rPr>
        <w:t>группы наблюдателей от Межпарламентской Ассамблеи</w:t>
      </w:r>
    </w:p>
    <w:p w:rsidR="001045DE" w:rsidRPr="001045DE" w:rsidRDefault="001045DE" w:rsidP="001045DE">
      <w:pPr>
        <w:spacing w:after="120"/>
        <w:jc w:val="center"/>
        <w:rPr>
          <w:b/>
          <w:sz w:val="28"/>
          <w:szCs w:val="28"/>
        </w:rPr>
      </w:pPr>
      <w:r w:rsidRPr="001045DE">
        <w:rPr>
          <w:b/>
          <w:sz w:val="28"/>
          <w:szCs w:val="28"/>
        </w:rPr>
        <w:t>государств — участников Содружества Независимых Государств</w:t>
      </w:r>
    </w:p>
    <w:p w:rsidR="001045DE" w:rsidRPr="001045DE" w:rsidRDefault="001045DE" w:rsidP="001045DE">
      <w:pPr>
        <w:spacing w:after="120"/>
        <w:jc w:val="center"/>
        <w:rPr>
          <w:b/>
          <w:sz w:val="28"/>
          <w:szCs w:val="28"/>
        </w:rPr>
      </w:pPr>
      <w:r w:rsidRPr="001045DE">
        <w:rPr>
          <w:b/>
          <w:sz w:val="28"/>
          <w:szCs w:val="28"/>
        </w:rPr>
        <w:t>на выборах в Законодательную палату Олий Мажлиса</w:t>
      </w:r>
    </w:p>
    <w:p w:rsidR="001045DE" w:rsidRPr="001045DE" w:rsidRDefault="001045DE" w:rsidP="001045DE">
      <w:pPr>
        <w:spacing w:after="120"/>
        <w:jc w:val="center"/>
        <w:rPr>
          <w:b/>
          <w:sz w:val="28"/>
          <w:szCs w:val="28"/>
        </w:rPr>
      </w:pPr>
      <w:r w:rsidRPr="001045DE">
        <w:rPr>
          <w:b/>
          <w:sz w:val="28"/>
          <w:szCs w:val="28"/>
        </w:rPr>
        <w:t>Республики Узбекистан</w:t>
      </w:r>
    </w:p>
    <w:p w:rsidR="001045DE" w:rsidRPr="001045DE" w:rsidRDefault="001045DE" w:rsidP="001045DE">
      <w:pPr>
        <w:spacing w:after="120"/>
        <w:jc w:val="center"/>
        <w:rPr>
          <w:b/>
          <w:sz w:val="28"/>
          <w:szCs w:val="28"/>
        </w:rPr>
      </w:pPr>
      <w:r w:rsidRPr="001045DE">
        <w:rPr>
          <w:b/>
          <w:sz w:val="28"/>
          <w:szCs w:val="28"/>
        </w:rPr>
        <w:t>22 декабря 2019 года</w:t>
      </w:r>
    </w:p>
    <w:p w:rsidR="001045DE" w:rsidRPr="001045DE" w:rsidRDefault="001045DE" w:rsidP="001045DE">
      <w:pPr>
        <w:spacing w:after="120"/>
        <w:ind w:firstLine="357"/>
        <w:jc w:val="both"/>
        <w:rPr>
          <w:b/>
          <w:sz w:val="28"/>
          <w:szCs w:val="28"/>
        </w:rPr>
      </w:pPr>
    </w:p>
    <w:p w:rsidR="001045DE" w:rsidRPr="001045DE" w:rsidRDefault="001045DE" w:rsidP="001045DE">
      <w:pPr>
        <w:spacing w:after="120"/>
        <w:ind w:firstLine="357"/>
        <w:jc w:val="both"/>
        <w:rPr>
          <w:sz w:val="28"/>
          <w:szCs w:val="28"/>
        </w:rPr>
      </w:pPr>
      <w:r w:rsidRPr="001045DE">
        <w:rPr>
          <w:sz w:val="28"/>
          <w:szCs w:val="28"/>
        </w:rPr>
        <w:t xml:space="preserve">20 сентября 2019 года Центральная избирательная комиссия Республики Узбекистан в соответствии со статьей 36 Избирательного кодекса приняла постановление «Об объявлении начала избирательной кампании по выборам депутатов Законодательной палаты Олий Мажлиса Республики Узбекистан и депутатов местных Кенгашей». </w:t>
      </w:r>
    </w:p>
    <w:p w:rsidR="001045DE" w:rsidRPr="001045DE" w:rsidRDefault="001045DE" w:rsidP="001045DE">
      <w:pPr>
        <w:spacing w:after="120"/>
        <w:ind w:firstLine="357"/>
        <w:jc w:val="both"/>
        <w:rPr>
          <w:sz w:val="28"/>
          <w:szCs w:val="28"/>
        </w:rPr>
      </w:pPr>
      <w:r w:rsidRPr="001045DE">
        <w:rPr>
          <w:sz w:val="28"/>
          <w:szCs w:val="28"/>
        </w:rPr>
        <w:t xml:space="preserve">25 сентября 2019 года в адрес Межпарламентской Ассамблеи государств — участников СНГ поступило приглашение Председателя Центральной избирательной комиссии Республики Узбекистан М.-У. Э. Абдусаломова принять участие в наблюдении за подготовкой и проведением очередных выборов в Законодательную палату Олий Мажлиса Республики Узбекистан. </w:t>
      </w:r>
    </w:p>
    <w:p w:rsidR="001045DE" w:rsidRPr="001045DE" w:rsidRDefault="001045DE" w:rsidP="001045DE">
      <w:pPr>
        <w:spacing w:after="120"/>
        <w:ind w:firstLine="357"/>
        <w:jc w:val="both"/>
        <w:rPr>
          <w:sz w:val="28"/>
          <w:szCs w:val="28"/>
        </w:rPr>
      </w:pPr>
      <w:r w:rsidRPr="001045DE">
        <w:rPr>
          <w:sz w:val="28"/>
          <w:szCs w:val="28"/>
        </w:rPr>
        <w:t>В соответствии с распоряжением Председателя Совета Межпарламентской Ассамблеи государств — участников Содружества Независимых Государств, Председателя Совета Федерации Федерального Собрания Российской Федерации В. И. Матвиенко № 5-рп от 12 ноября 2019 года координатором группы наблюдателей от МПА СНГ на выборах в Законодательную палату Олий Мажлиса Республики Узбекистан назначен заместитель Председателя Совета Федерации Федерального Собрания Российской Федерации И. М.-С. Умаханов.</w:t>
      </w:r>
    </w:p>
    <w:p w:rsidR="001045DE" w:rsidRPr="001045DE" w:rsidRDefault="001045DE" w:rsidP="001045DE">
      <w:pPr>
        <w:spacing w:after="120"/>
        <w:ind w:firstLine="357"/>
        <w:jc w:val="both"/>
        <w:rPr>
          <w:sz w:val="28"/>
          <w:szCs w:val="28"/>
        </w:rPr>
      </w:pPr>
      <w:r w:rsidRPr="001045DE">
        <w:rPr>
          <w:sz w:val="28"/>
          <w:szCs w:val="28"/>
        </w:rPr>
        <w:t>Для проведения мониторинга избирательной кампании была сформирована группа международных наблюдателей от Межпарламентской Ассамблеи СНГ общей численностью 37 человек, представляющих парламенты Азербайджанской Республики, Республики Армения, Республики Беларусь, Республики Казахстан, Кыргызской Республики, Российской Федерации, Республики Таджикистан и Секретариат Совета МПА СНГ. Сотрудники Секретариата Совета МПА СНГ и эксперты МИМРД МПА СНГ осуществляли информационное, аналитическое и организационно-техническое сопровождение деятельности парламентариев.</w:t>
      </w:r>
    </w:p>
    <w:p w:rsidR="001045DE" w:rsidRPr="001045DE" w:rsidRDefault="001045DE" w:rsidP="001045DE">
      <w:pPr>
        <w:spacing w:after="120"/>
        <w:ind w:firstLine="357"/>
        <w:jc w:val="both"/>
        <w:rPr>
          <w:sz w:val="28"/>
          <w:szCs w:val="28"/>
        </w:rPr>
      </w:pPr>
      <w:r w:rsidRPr="001045DE">
        <w:rPr>
          <w:sz w:val="28"/>
          <w:szCs w:val="28"/>
        </w:rPr>
        <w:t xml:space="preserve">Наблюдение за выборами осуществлялось в соответствии с положениями Конвенции о стандартах демократических выборов, избирательных прав и свобод в государствах — участниках Содружества Независимых Государств (Кишинев, 2002 год) и Рекомендаций для международных наблюдателей от Содружества Независимых Государств по наблюдению за выборами и референдумами (Санкт-Петербург, 2011 год) на основании принципов политической нейтральности, объективности, строгого соблюдения </w:t>
      </w:r>
      <w:r w:rsidRPr="001045DE">
        <w:rPr>
          <w:sz w:val="28"/>
          <w:szCs w:val="28"/>
        </w:rPr>
        <w:lastRenderedPageBreak/>
        <w:t xml:space="preserve">избирательного законодательства и невмешательства во внутренние дела Республики Узбекистан. </w:t>
      </w:r>
    </w:p>
    <w:p w:rsidR="001045DE" w:rsidRPr="001045DE" w:rsidRDefault="001045DE" w:rsidP="001045DE">
      <w:pPr>
        <w:spacing w:after="120"/>
        <w:jc w:val="center"/>
        <w:rPr>
          <w:b/>
          <w:sz w:val="28"/>
          <w:szCs w:val="28"/>
        </w:rPr>
      </w:pPr>
      <w:r w:rsidRPr="001045DE">
        <w:rPr>
          <w:b/>
          <w:sz w:val="28"/>
          <w:szCs w:val="28"/>
        </w:rPr>
        <w:t>Законодательство Республики Узбекистан, регулирующее</w:t>
      </w:r>
    </w:p>
    <w:p w:rsidR="001045DE" w:rsidRPr="001045DE" w:rsidRDefault="001045DE" w:rsidP="001045DE">
      <w:pPr>
        <w:spacing w:after="120"/>
        <w:jc w:val="center"/>
        <w:rPr>
          <w:b/>
          <w:sz w:val="28"/>
          <w:szCs w:val="28"/>
        </w:rPr>
      </w:pPr>
      <w:r w:rsidRPr="001045DE">
        <w:rPr>
          <w:b/>
          <w:sz w:val="28"/>
          <w:szCs w:val="28"/>
        </w:rPr>
        <w:t>проведение выборов в Законодательную палату Олий Мажлиса</w:t>
      </w:r>
    </w:p>
    <w:p w:rsidR="001045DE" w:rsidRPr="001045DE" w:rsidRDefault="001045DE" w:rsidP="001045DE">
      <w:pPr>
        <w:spacing w:after="120"/>
        <w:ind w:firstLine="357"/>
        <w:jc w:val="both"/>
        <w:rPr>
          <w:sz w:val="28"/>
          <w:szCs w:val="28"/>
        </w:rPr>
      </w:pPr>
      <w:r w:rsidRPr="001045DE">
        <w:rPr>
          <w:sz w:val="28"/>
          <w:szCs w:val="28"/>
        </w:rPr>
        <w:t xml:space="preserve">Правовой основой для проведения выборов в Законодательную палату Олий Мажлиса Республики Узбекистан являются Конституция, Избирательный кодекс, законы Республики Узбекистан «О средствах массовой информации», «О политических партиях», «О финансировании политических партий», «Об общественных объединениях в Республике Узбекистан», «Об органах самоуправления граждан» и иные нормативные акты. В соответствии с национальным законодательством Центральная избирательная комиссия Республики Узбекистан наделена полномочиями по принятию постановлений и иных нормативных правовых актов, направленных на конкретизацию правовых норм в электоральной сфере. </w:t>
      </w:r>
    </w:p>
    <w:p w:rsidR="001045DE" w:rsidRPr="001045DE" w:rsidRDefault="001045DE" w:rsidP="001045DE">
      <w:pPr>
        <w:spacing w:after="120"/>
        <w:ind w:firstLine="357"/>
        <w:jc w:val="both"/>
        <w:rPr>
          <w:sz w:val="28"/>
          <w:szCs w:val="28"/>
        </w:rPr>
      </w:pPr>
      <w:r w:rsidRPr="001045DE">
        <w:rPr>
          <w:sz w:val="28"/>
          <w:szCs w:val="28"/>
        </w:rPr>
        <w:t xml:space="preserve">Действующий на момент начала кампании по выборам в Законодательную палату Олий Мажлиса Республики Узбекистан Избирательный кодекс вступил в силу 26 июня 2019 года. Его разработка базировалась на анализе опыта проведения предыдущих выборов, рекомендациях международных организаций, касающихся имплементации стандартов свободных и справедливых выборов, масштабной работе, проведенной ЦИК Республики Узбекистан с участием политических партий и общественных движений в период с 2017 года по 2019 год. Законопроект прошел экспертизу Венецианской комиссии, по итогам которой его положения были признаны в целом соответствующими международным стандартам в области избирательного права. Возможность применения положений закона, вступившего в силу менее чем за четыре месяца до старта избирательной кампании, не противоречит национальному законодательству. Для применения положений нового Избирательного кодекса на практике ЦИК приняла более 15 постановлений, регламентирующих процедуры в рамках избирательного процесса, в том числе: «Об утверждении положения о наблюдателях от политических партий и органов самоуправления граждан», «Об утверждении положения о порядке проведения предвыборной агитации кандидатов в депутаты Законодательной палаты Олий Мажлиса Республики Узбекистан, областных, районных и городских Кенгашей народных депутатов», «Об утверждении положения о наблюдателях от иностранных государств и международных организаций, участвующих на выборах Республики Узбекистан». </w:t>
      </w:r>
    </w:p>
    <w:p w:rsidR="001045DE" w:rsidRPr="001045DE" w:rsidRDefault="001045DE" w:rsidP="001045DE">
      <w:pPr>
        <w:spacing w:after="120"/>
        <w:ind w:firstLine="357"/>
        <w:jc w:val="both"/>
        <w:rPr>
          <w:sz w:val="28"/>
          <w:szCs w:val="28"/>
        </w:rPr>
      </w:pPr>
      <w:r w:rsidRPr="001045DE">
        <w:rPr>
          <w:sz w:val="28"/>
          <w:szCs w:val="28"/>
        </w:rPr>
        <w:t xml:space="preserve">Новый Избирательный кодекс существенно расширил возможности политических партий по ведению агитации и организации независимого наблюдения за выборами, увеличив возможное количество наблюдателей и доверенных лиц кандидатов в депутаты, снизил порог необходимого количества подписей в поддержку кандидатов вдвое, с 80 тысяч до 40 тысяч подписей, с одновременным введением возможности поддержки на стадии </w:t>
      </w:r>
      <w:r w:rsidRPr="001045DE">
        <w:rPr>
          <w:sz w:val="28"/>
          <w:szCs w:val="28"/>
        </w:rPr>
        <w:lastRenderedPageBreak/>
        <w:t>выдвижения каждым гражданином более одного кандидата в депутаты, повысил политическую конкуренцию, отменив квотирование 15 мест в Законодательной палате для Экологического движения Узбекистана. Кроме того, новый кодекс урегулировал вопросы использования в избирательном процессе современных информационных технологий и государственных информационных ресурсов: Информационной системы управления избирательным процессом (ИСУИП) и Единого электронного списка избирателей (ЕЭСИ). Участники избирательного процесса, акцентируя внимание на произошедших изменениях правового поля и нацеленности страны на курс реформ, выбрали для текущей избирательной кампании слоган: «Новый Узбекистан — новые выборы».</w:t>
      </w:r>
    </w:p>
    <w:p w:rsidR="001045DE" w:rsidRPr="001045DE" w:rsidRDefault="001045DE" w:rsidP="001045DE">
      <w:pPr>
        <w:spacing w:after="120"/>
        <w:ind w:firstLine="357"/>
        <w:jc w:val="both"/>
        <w:rPr>
          <w:sz w:val="28"/>
          <w:szCs w:val="28"/>
        </w:rPr>
      </w:pPr>
      <w:r w:rsidRPr="001045DE">
        <w:rPr>
          <w:sz w:val="28"/>
          <w:szCs w:val="28"/>
        </w:rPr>
        <w:t>В соответствии с национальным законодательством выборы в Законодательную палату Олий Мажлиса Республики Узбекистан проводятся на основе всеобщего, равного, прямого избирательного права при тайном голосовании по 150 одномандатным избирательным округам. Активным избирательным правом обладают граждане Республики Узбекистан, достигшие к дню выборов 18-летнего возраста. В голосовании не принимают участия граждане, признанные судом недееспособными, а также лица, содержащиеся в местах лишения свободы по приговору суда за совершенные тяжкие и особо тяжкие преступления.</w:t>
      </w:r>
    </w:p>
    <w:p w:rsidR="001045DE" w:rsidRPr="001045DE" w:rsidRDefault="001045DE" w:rsidP="001045DE">
      <w:pPr>
        <w:spacing w:after="120"/>
        <w:ind w:firstLine="357"/>
        <w:jc w:val="both"/>
        <w:rPr>
          <w:sz w:val="28"/>
          <w:szCs w:val="28"/>
        </w:rPr>
      </w:pPr>
      <w:r w:rsidRPr="001045DE">
        <w:rPr>
          <w:sz w:val="28"/>
          <w:szCs w:val="28"/>
        </w:rPr>
        <w:t>По итогам проведенного анализа избирательного законодательства Республики Узбекистан, регулирующего выборы в Законодательную палату Олий Мажлиса, на предмет его соответствия международным стандартам демократических выборов наблюдатели от МПА СНГ констатируют, что национальное законодательство в целом соответствует международным демократическим стандартам. Оно обеспечивает организацию и проведение парламентских выборов с опорой на систему независимых избирательных органов на основе всеобщего, равного, прямого избирательного права и тайного голосования, соблюдение реализуемых в ходе выборов прав граждан и их объединений, а также транспарентность избирательного процесса на всех его этапах.</w:t>
      </w:r>
    </w:p>
    <w:p w:rsidR="001045DE" w:rsidRPr="001045DE" w:rsidRDefault="001045DE" w:rsidP="001045DE">
      <w:pPr>
        <w:spacing w:after="120"/>
        <w:jc w:val="center"/>
        <w:rPr>
          <w:b/>
          <w:sz w:val="28"/>
          <w:szCs w:val="28"/>
        </w:rPr>
      </w:pPr>
      <w:r w:rsidRPr="001045DE">
        <w:rPr>
          <w:b/>
          <w:sz w:val="28"/>
          <w:szCs w:val="28"/>
        </w:rPr>
        <w:t>Административно-организационное обеспечение выборов</w:t>
      </w:r>
    </w:p>
    <w:p w:rsidR="001045DE" w:rsidRPr="001045DE" w:rsidRDefault="001045DE" w:rsidP="001045DE">
      <w:pPr>
        <w:spacing w:after="120"/>
        <w:jc w:val="center"/>
        <w:rPr>
          <w:b/>
          <w:sz w:val="28"/>
          <w:szCs w:val="28"/>
        </w:rPr>
      </w:pPr>
      <w:r w:rsidRPr="001045DE">
        <w:rPr>
          <w:b/>
          <w:sz w:val="28"/>
          <w:szCs w:val="28"/>
        </w:rPr>
        <w:t>в Законодательную палату Олий Мажлиса</w:t>
      </w:r>
    </w:p>
    <w:p w:rsidR="001045DE" w:rsidRPr="001045DE" w:rsidRDefault="001045DE" w:rsidP="001045DE">
      <w:pPr>
        <w:spacing w:after="120"/>
        <w:ind w:firstLine="357"/>
        <w:jc w:val="both"/>
        <w:rPr>
          <w:sz w:val="28"/>
          <w:szCs w:val="28"/>
        </w:rPr>
      </w:pPr>
      <w:r w:rsidRPr="001045DE">
        <w:rPr>
          <w:sz w:val="28"/>
          <w:szCs w:val="28"/>
        </w:rPr>
        <w:t>Подготовку и проведение выборов в Законодательную палату Олий Мажлиса организуют избирательные комиссии, в единую систему которых в Республике Узбекистан входят: Центральная избирательная комиссия; областные, районные и городские избирательные комиссии; окружные избирательные комиссии; участковые избирательные комиссии.</w:t>
      </w:r>
    </w:p>
    <w:p w:rsidR="001045DE" w:rsidRPr="001045DE" w:rsidRDefault="001045DE" w:rsidP="001045DE">
      <w:pPr>
        <w:spacing w:after="120"/>
        <w:ind w:firstLine="357"/>
        <w:jc w:val="both"/>
        <w:rPr>
          <w:sz w:val="28"/>
          <w:szCs w:val="28"/>
        </w:rPr>
      </w:pPr>
      <w:r w:rsidRPr="001045DE">
        <w:rPr>
          <w:sz w:val="28"/>
          <w:szCs w:val="28"/>
        </w:rPr>
        <w:t xml:space="preserve">Центральная избирательная комиссия Республики Узбекистан осуществляет свою деятельность на постоянной основе. Окружные избирательные комиссии образуются ЦИК не менее чем за 70 дней до даты выборов на основе кандидатур, предложенных Жокаргы Кенесом Республики Каракалпакстан, областными и Ташкентским городским Кенгашами </w:t>
      </w:r>
      <w:r w:rsidRPr="001045DE">
        <w:rPr>
          <w:sz w:val="28"/>
          <w:szCs w:val="28"/>
        </w:rPr>
        <w:lastRenderedPageBreak/>
        <w:t>народных депутатов. Участковые избирательные комиссии образуются окружными избирательными комиссиями не менее чем за 40 дней до даты выборов из числа кандидатов, которые выдвинуты органами самоуправления граждан, общественными объединениями, предприятиями, учреждениями и организациями и кандидатуры которых одобрены на заседаниях районных, городских Кенгашей народных депутатов.</w:t>
      </w:r>
    </w:p>
    <w:p w:rsidR="001045DE" w:rsidRPr="001045DE" w:rsidRDefault="001045DE" w:rsidP="001045DE">
      <w:pPr>
        <w:spacing w:after="120"/>
        <w:ind w:firstLine="357"/>
        <w:jc w:val="both"/>
        <w:rPr>
          <w:sz w:val="28"/>
          <w:szCs w:val="28"/>
        </w:rPr>
      </w:pPr>
      <w:r w:rsidRPr="001045DE">
        <w:rPr>
          <w:sz w:val="28"/>
          <w:szCs w:val="28"/>
        </w:rPr>
        <w:t xml:space="preserve">Для подготовки и проведения избирательной кампании 2019 года в Республике Узбекистан были образованы 12 областных избирательных комиссий, а также избирательные комиссии Республики Каракалпакстан и города Ташкент; 150 окружных и 10 306 участковых избирательных комиссий; к 12 окружным избирательным комиссиям города Ташкент были прикреплены 55 зарубежных избирательных участков, открытых на территории дипломатических и консульских представительств Республики Узбекистан в 38 иностранных государствах. Избирательные комиссии всех уровней были сформированы в предусмотренные законом сроки с соблюдением правовых норм. К работе в избирательных комиссиях всех уровней было привлечено примерно 180 тысяч человек, их работа в соответствии с новеллами Избирательного кодекса впервые оплачивалась из бюджета Республики Узбекистан. </w:t>
      </w:r>
    </w:p>
    <w:p w:rsidR="001045DE" w:rsidRPr="001045DE" w:rsidRDefault="001045DE" w:rsidP="001045DE">
      <w:pPr>
        <w:spacing w:after="120"/>
        <w:ind w:firstLine="357"/>
        <w:jc w:val="both"/>
        <w:rPr>
          <w:sz w:val="28"/>
          <w:szCs w:val="28"/>
        </w:rPr>
      </w:pPr>
      <w:r w:rsidRPr="001045DE">
        <w:rPr>
          <w:sz w:val="28"/>
          <w:szCs w:val="28"/>
        </w:rPr>
        <w:t xml:space="preserve">В период, предшествовавший дате объявления выборов, ЦИК с привлечением представителей научного и экспертного сообщества разработала ряд вариативных образовательных курсов c комплектами методических и справочных материалов, учитывающих функционал различных категорий участников избирательного процесса: председателей и заместителей председателя, секретарей и членов окружных и участковых избирательных комиссий; представителей СМИ и общественных организаций. В сентябре — декабре 2019 года согласно графику в восемь этапов с применением широко используемого в государствах — участниках МПА СНГ каскадного метода обучения был организован цикл семинаров и тренингов для подготовки различных категорий участников избирательного процесса во всех областях и районах Республики Узбекистан. К проведению занятий привлекались представители профессорско-преподавательского состава вузов и учебных центров Узбекистана. Обучение членов избирательных комиссий всех уровней работе в программных комплексах ЕЭСИ и ИСУИП проводили специалисты в области информационных технологий. </w:t>
      </w:r>
    </w:p>
    <w:p w:rsidR="001045DE" w:rsidRPr="001045DE" w:rsidRDefault="001045DE" w:rsidP="001045DE">
      <w:pPr>
        <w:spacing w:after="120"/>
        <w:ind w:firstLine="357"/>
        <w:jc w:val="both"/>
        <w:rPr>
          <w:sz w:val="28"/>
          <w:szCs w:val="28"/>
        </w:rPr>
      </w:pPr>
      <w:r w:rsidRPr="001045DE">
        <w:rPr>
          <w:sz w:val="28"/>
          <w:szCs w:val="28"/>
        </w:rPr>
        <w:t xml:space="preserve"> Для повышения информированности граждан Республики Узбекистан о новеллах избирательного законодательства, их правах и обязанностях, а также в целях повышения электоральной активности ЦИК в период с 20 октября по 20 ноября 2019 года объявила месячник пропаганды избирательного законодательства, в ходе которого прошли агитационно-просветительские мероприятия различных видов и форм в министерствах и ведомствах, учебных заведениях и на производственных предприятиях Узбекистана. Важным аспектом информирования являлось продвижение </w:t>
      </w:r>
      <w:r w:rsidRPr="001045DE">
        <w:rPr>
          <w:sz w:val="28"/>
          <w:szCs w:val="28"/>
        </w:rPr>
        <w:lastRenderedPageBreak/>
        <w:t xml:space="preserve">понимания необходимости добровольного и сознательного соблюдения этических норм в ходе агитационной кампании и наблюдения за выборами. </w:t>
      </w:r>
    </w:p>
    <w:p w:rsidR="001045DE" w:rsidRPr="001045DE" w:rsidRDefault="001045DE" w:rsidP="001045DE">
      <w:pPr>
        <w:spacing w:after="120"/>
        <w:ind w:firstLine="357"/>
        <w:jc w:val="both"/>
        <w:rPr>
          <w:sz w:val="28"/>
          <w:szCs w:val="28"/>
        </w:rPr>
      </w:pPr>
      <w:r w:rsidRPr="001045DE">
        <w:rPr>
          <w:sz w:val="28"/>
          <w:szCs w:val="28"/>
        </w:rPr>
        <w:t>Органы исполнительной власти и органы местного самоуправления Республики Узбекистан проделали большую работу по оказанию содействия агитационным мероприятиям политических партий (предоставление помещений для встреч с избирателями, митингов, мест для размещения политической рекламы и т. д.), материально-техническому обеспечению работы окружных и участковых избирательных комиссий, в том числе касающемуся работы с ЕЭСИ. К 1 декабря 2019 года все участки для голосования были подключены к Интернету. В ходе текущей избирательной кампании ИСУИП и ЕЭСИ были применены в общенациональном масштабе впервые. Во всех окружных избирательных комиссиях были созданы «ситуационные центры» для сбора, обработки, обобщения и передачи информации, поступающей с избирательных участков в режиме онлайн.</w:t>
      </w:r>
    </w:p>
    <w:p w:rsidR="001045DE" w:rsidRPr="001045DE" w:rsidRDefault="001045DE" w:rsidP="001045DE">
      <w:pPr>
        <w:spacing w:after="120"/>
        <w:ind w:firstLine="357"/>
        <w:jc w:val="both"/>
        <w:rPr>
          <w:sz w:val="28"/>
          <w:szCs w:val="28"/>
        </w:rPr>
      </w:pPr>
      <w:r w:rsidRPr="001045DE">
        <w:rPr>
          <w:sz w:val="28"/>
          <w:szCs w:val="28"/>
        </w:rPr>
        <w:t xml:space="preserve">Наблюдатели от МПА СНГ отмечают значительные усилия ЦИК Республики Узбекистан и практически полный охват всех участников избирательного процесса информационными, справочными, методическими материалами, организацию открытого доступа к правовой, агитационной и просветительской информации о выборах, политических партиях, ходе избирательной кампании. </w:t>
      </w:r>
    </w:p>
    <w:p w:rsidR="001045DE" w:rsidRPr="001045DE" w:rsidRDefault="001045DE" w:rsidP="001045DE">
      <w:pPr>
        <w:spacing w:after="120"/>
        <w:ind w:firstLine="357"/>
        <w:jc w:val="both"/>
        <w:rPr>
          <w:sz w:val="28"/>
          <w:szCs w:val="28"/>
        </w:rPr>
      </w:pPr>
      <w:r w:rsidRPr="001045DE">
        <w:rPr>
          <w:sz w:val="28"/>
          <w:szCs w:val="28"/>
        </w:rPr>
        <w:t xml:space="preserve"> На этапе подготовки к выборам ЦИК издала 143 000 «рабочих тетрадей» для членов участковых избирательных комиссий, 22 000 экземпляров «Конституции Республики Узбекистан», 25 000 экземпляров «Избирательного кодекса», 22 000 копий сборника законов и подзаконных актов, регламентирующих процедуру выборов в Республике Узбекистан, а также более миллиона плакатов с призывом принять участие в выборах на узбекском, каракалпакском и русском языках. Избиратели имели возможность ознакомиться с указанными документами, а также с различными информационными и статистическими материалами о ходе предвыборной кампании на сайте ЦИК в Интернете. Избирателям была обеспечена возможность проверки правильности своих персональных данных, они могли оперативно информировать ЦИК и другие избирательные комиссии о нарушениях при подготовке к проведению выборов через специальный «телефон доверия». Председатель ЦИК М.-У. Э. Абдусаломов регулярно проводил пресс-конференции, на которых освещал основные этапы предвыборного процесса и подготовки к голосованию.</w:t>
      </w:r>
    </w:p>
    <w:p w:rsidR="001045DE" w:rsidRPr="001045DE" w:rsidRDefault="001045DE" w:rsidP="001045DE">
      <w:pPr>
        <w:spacing w:after="120"/>
        <w:ind w:firstLine="357"/>
        <w:jc w:val="both"/>
        <w:rPr>
          <w:sz w:val="28"/>
          <w:szCs w:val="28"/>
        </w:rPr>
      </w:pPr>
      <w:r w:rsidRPr="001045DE">
        <w:rPr>
          <w:sz w:val="28"/>
          <w:szCs w:val="28"/>
        </w:rPr>
        <w:t xml:space="preserve">Центральная избирательная комиссия обеспечила условия для информирования международной общественности о ходе предвыборной кампании. В рамках подготовки к проведению выборов регулярно проходили встречи руководства ЦИК с международными наблюдателями, пресс-конференции для иностранных журналистов. Посредством версии сайта ЦИК на английском языке оперативно предоставлялась информация о подготовке к выборам и принятых избирательными комиссиями всех уровней решениях. </w:t>
      </w:r>
      <w:r w:rsidRPr="001045DE">
        <w:rPr>
          <w:sz w:val="28"/>
          <w:szCs w:val="28"/>
        </w:rPr>
        <w:lastRenderedPageBreak/>
        <w:t>Центральная избирательная комиссия аккредитовала более 100 иностранных журналистов для освещения подготовки и проведения голосования.</w:t>
      </w:r>
    </w:p>
    <w:p w:rsidR="001045DE" w:rsidRPr="001045DE" w:rsidRDefault="001045DE" w:rsidP="001045DE">
      <w:pPr>
        <w:spacing w:after="120"/>
        <w:ind w:firstLine="357"/>
        <w:jc w:val="both"/>
        <w:rPr>
          <w:sz w:val="28"/>
          <w:szCs w:val="28"/>
        </w:rPr>
      </w:pPr>
      <w:r w:rsidRPr="001045DE">
        <w:rPr>
          <w:sz w:val="28"/>
          <w:szCs w:val="28"/>
        </w:rPr>
        <w:t xml:space="preserve">Этап регистрации политических объединений, обладающих правом выдвижения кандидатов в депутаты Законодательной палаты Олий Мажлиса, завершился 18 октября 2019 года успешным прохождением процедуры всеми пятью подавшими заявку на регистрацию политическими партиями. На этапе выдвижения кандидатов в депутаты Законодательной палаты Олий Мажлиса </w:t>
      </w:r>
      <w:r w:rsidRPr="001045DE">
        <w:rPr>
          <w:sz w:val="28"/>
          <w:szCs w:val="28"/>
        </w:rPr>
        <w:br/>
        <w:t xml:space="preserve">ЦИК зарегистрировала 747 кандидатов, в том числе выдвинутых: Движением предпринимателей и деловых людей — Либерально-демократической партией Узбекистана — 150, Социал-демократической партией «Адолат» — 149, Демократической партией Узбекистана «Миллий тикланиш» — 150, Народно-демократической партией Узбекистана — 149 и Экологической партией Узбекистана — 149. </w:t>
      </w:r>
    </w:p>
    <w:p w:rsidR="001045DE" w:rsidRPr="001045DE" w:rsidRDefault="001045DE" w:rsidP="001045DE">
      <w:pPr>
        <w:spacing w:after="120"/>
        <w:ind w:firstLine="357"/>
        <w:jc w:val="both"/>
        <w:rPr>
          <w:sz w:val="28"/>
          <w:szCs w:val="28"/>
        </w:rPr>
      </w:pPr>
      <w:r w:rsidRPr="001045DE">
        <w:rPr>
          <w:sz w:val="28"/>
          <w:szCs w:val="28"/>
        </w:rPr>
        <w:t>Общее количество граждан Республики Узбекистан, обладающих правом голоса на выборах 22 декабря 2019 года, — 20 516 710 человек. В соответствии с национальным законодательством ЦИК приняла решение напечатать бюллетеней на полпроцента больше общего числа избирателей — 20 619 000 бюллетеней, во избежание риска их нехватки в случае голосования граждан не по месту регистрации. Избиратели имели возможность использовать при голосовании бюллетени, напечатанные на одном из языков, который они считают родным: узбекском, каракалпакском или русском. Требуемое количество бюллетеней на каждом из языков в рамках округа определялось на основе анализа национального состава зарегистрированных в округе избирателей с использованием ЕЭСИ и сведений, полученных от региональных органов исполнительной власти. Все бюллетени были доставлены на избирательные участки в установленный законом срок, не позднее чем за три дня до даты начала досрочного голосования и три дня до даты выборов соответственно.</w:t>
      </w:r>
    </w:p>
    <w:p w:rsidR="001045DE" w:rsidRPr="001045DE" w:rsidRDefault="001045DE" w:rsidP="001045DE">
      <w:pPr>
        <w:spacing w:after="120"/>
        <w:ind w:firstLine="357"/>
        <w:jc w:val="both"/>
        <w:rPr>
          <w:sz w:val="28"/>
          <w:szCs w:val="28"/>
        </w:rPr>
      </w:pPr>
      <w:r w:rsidRPr="001045DE">
        <w:rPr>
          <w:sz w:val="28"/>
          <w:szCs w:val="28"/>
        </w:rPr>
        <w:t xml:space="preserve">Для осуществления голосования лиц </w:t>
      </w:r>
      <w:r w:rsidRPr="001045DE">
        <w:rPr>
          <w:sz w:val="28"/>
          <w:szCs w:val="28"/>
          <w:lang w:val="en-US"/>
        </w:rPr>
        <w:t>c</w:t>
      </w:r>
      <w:r w:rsidRPr="001045DE">
        <w:rPr>
          <w:sz w:val="28"/>
          <w:szCs w:val="28"/>
        </w:rPr>
        <w:t xml:space="preserve"> ограниченными возможностями практически все избирательные участки в Ташкенте и регионах, в которых проводилось наблюдение на этапе краткосрочного мониторинга, были оснащены пандусами, позволяющими обеспечить доступ в помещение для голосования, либо лифтами, специальными кабинками для голосования маломобильных групп населения, трафаретами, напечатанными шрифтом Брайля. В отдельных случаях, когда обеспечить доступ в помещение для голосования без посторонней помощи не представлялось возможным, в день голосования на избирательных участках было организовано дежурство волонтеров. </w:t>
      </w:r>
    </w:p>
    <w:p w:rsidR="001045DE" w:rsidRPr="001045DE" w:rsidRDefault="001045DE" w:rsidP="001045DE">
      <w:pPr>
        <w:spacing w:after="120"/>
        <w:ind w:firstLine="357"/>
        <w:jc w:val="both"/>
        <w:rPr>
          <w:sz w:val="28"/>
          <w:szCs w:val="28"/>
        </w:rPr>
      </w:pPr>
      <w:r w:rsidRPr="001045DE">
        <w:rPr>
          <w:sz w:val="28"/>
          <w:szCs w:val="28"/>
        </w:rPr>
        <w:t xml:space="preserve">Предпринятые ЦИК, органами государственной власти и органами местного самоуправления Республики Узбекистан действия обеспечили проведение избирательной кампании в условиях открытости и политической соревновательности. Прозрачность хода голосования была обеспечена масштабным привлечением к участию в избирательном процессе </w:t>
      </w:r>
      <w:r w:rsidRPr="001045DE">
        <w:rPr>
          <w:sz w:val="28"/>
          <w:szCs w:val="28"/>
        </w:rPr>
        <w:lastRenderedPageBreak/>
        <w:t xml:space="preserve">национальных наблюдателей, представляющих политические партии, доверенных лиц кандидатов, а также органы самоуправления граждан. Всего в качестве наблюдателей в избирательных комиссиях всех уровней на день голосования было аккредитовано более 70 000 человек. </w:t>
      </w:r>
    </w:p>
    <w:p w:rsidR="001045DE" w:rsidRPr="001045DE" w:rsidRDefault="001045DE" w:rsidP="001045DE">
      <w:pPr>
        <w:spacing w:after="120"/>
        <w:ind w:firstLine="357"/>
        <w:jc w:val="both"/>
        <w:rPr>
          <w:sz w:val="28"/>
          <w:szCs w:val="28"/>
        </w:rPr>
      </w:pPr>
      <w:r w:rsidRPr="001045DE">
        <w:rPr>
          <w:sz w:val="28"/>
          <w:szCs w:val="28"/>
        </w:rPr>
        <w:t xml:space="preserve">Мониторинг выборов в Законодательную палату Олий Мажлиса осуществляли аккредитованные ЦИК 825 международных наблюдателей, представляющих 41 иностранное государство, а также девять международных организаций. Миссия наблюдателей от СНГ была представлена 182 наблюдателями из восьми стран, группа от МПА СНГ — 37 наблюдателями из семи государств-участников. </w:t>
      </w:r>
    </w:p>
    <w:p w:rsidR="001045DE" w:rsidRPr="001045DE" w:rsidRDefault="001045DE" w:rsidP="001045DE">
      <w:pPr>
        <w:spacing w:after="120"/>
        <w:ind w:firstLine="357"/>
        <w:jc w:val="both"/>
        <w:rPr>
          <w:sz w:val="28"/>
          <w:szCs w:val="28"/>
        </w:rPr>
      </w:pPr>
      <w:r w:rsidRPr="001045DE">
        <w:rPr>
          <w:sz w:val="28"/>
          <w:szCs w:val="28"/>
        </w:rPr>
        <w:t xml:space="preserve">Наблюдение за ходом подготовки и проведения выборов </w:t>
      </w:r>
      <w:r w:rsidRPr="001045DE">
        <w:rPr>
          <w:sz w:val="28"/>
          <w:szCs w:val="28"/>
        </w:rPr>
        <w:br/>
        <w:t xml:space="preserve">22 декабря 2019 года показало, что все мероприятия, предусмотренные Программой основных мероприятий по проведению выборов депутатов Законодательной палаты Олий Мажлиса Республики Узбекистан, депутатов местных Кенгашей, были осуществлены в установленные сроки и в строгом соответствии с избирательным законодательством Республики Узбекистан. </w:t>
      </w:r>
    </w:p>
    <w:p w:rsidR="001045DE" w:rsidRPr="001045DE" w:rsidRDefault="001045DE" w:rsidP="001045DE">
      <w:pPr>
        <w:spacing w:after="120"/>
        <w:ind w:firstLine="357"/>
        <w:jc w:val="both"/>
        <w:rPr>
          <w:sz w:val="28"/>
          <w:szCs w:val="28"/>
        </w:rPr>
      </w:pPr>
      <w:r w:rsidRPr="001045DE">
        <w:rPr>
          <w:sz w:val="28"/>
          <w:szCs w:val="28"/>
        </w:rPr>
        <w:t xml:space="preserve">Группа международных наблюдателей от МПА СНГ отмечает значительную работу, проведенную ЦИК, органами государственной власти и органами местного самоуправления Республики Узбекистан по обеспечению свободного волеизъявления каждого гражданина, открытости и доступности информации о правовых, организационных и политических аспектах избирательной кампании на основе плюрализма. Особую роль в достижении информационной и политической открытости сыграл высокий организационный уровень избирательного процесса, обеспеченный деятельностью Центральной избирательной комиссии Республики Узбекистан. </w:t>
      </w:r>
    </w:p>
    <w:p w:rsidR="001045DE" w:rsidRPr="001045DE" w:rsidRDefault="001045DE" w:rsidP="001045DE">
      <w:pPr>
        <w:spacing w:after="120"/>
        <w:jc w:val="center"/>
        <w:rPr>
          <w:b/>
          <w:sz w:val="28"/>
          <w:szCs w:val="28"/>
        </w:rPr>
      </w:pPr>
      <w:r w:rsidRPr="001045DE">
        <w:rPr>
          <w:b/>
          <w:sz w:val="28"/>
          <w:szCs w:val="28"/>
        </w:rPr>
        <w:t>Агитационный период</w:t>
      </w:r>
    </w:p>
    <w:p w:rsidR="001045DE" w:rsidRPr="001045DE" w:rsidRDefault="001045DE" w:rsidP="001045DE">
      <w:pPr>
        <w:spacing w:after="120"/>
        <w:ind w:firstLine="357"/>
        <w:jc w:val="both"/>
        <w:rPr>
          <w:sz w:val="28"/>
          <w:szCs w:val="28"/>
        </w:rPr>
      </w:pPr>
      <w:r w:rsidRPr="001045DE">
        <w:rPr>
          <w:sz w:val="28"/>
          <w:szCs w:val="28"/>
        </w:rPr>
        <w:t>В соответствии с национальным законодательством Республики Узбекистан кандидаты в Законодательную палату Олий Мажлиса начали свою предвыборную агитацию 18 ноября и завершили ее 20 декабря 2019 года.</w:t>
      </w:r>
    </w:p>
    <w:p w:rsidR="001045DE" w:rsidRPr="001045DE" w:rsidRDefault="001045DE" w:rsidP="001045DE">
      <w:pPr>
        <w:spacing w:after="120"/>
        <w:ind w:firstLine="357"/>
        <w:jc w:val="both"/>
        <w:rPr>
          <w:sz w:val="28"/>
          <w:szCs w:val="28"/>
        </w:rPr>
      </w:pPr>
      <w:r w:rsidRPr="001045DE">
        <w:rPr>
          <w:sz w:val="28"/>
          <w:szCs w:val="28"/>
        </w:rPr>
        <w:t xml:space="preserve">Ключевыми особенностями агитационного периода текущей избирательной кампании, впервые проходящей на основании положений нового Избирательного кодекса, стали: </w:t>
      </w:r>
    </w:p>
    <w:p w:rsidR="001045DE" w:rsidRPr="001045DE" w:rsidRDefault="001045DE" w:rsidP="001045DE">
      <w:pPr>
        <w:spacing w:after="120"/>
        <w:ind w:firstLine="357"/>
        <w:jc w:val="both"/>
        <w:rPr>
          <w:sz w:val="28"/>
          <w:szCs w:val="28"/>
        </w:rPr>
      </w:pPr>
      <w:r w:rsidRPr="001045DE">
        <w:rPr>
          <w:sz w:val="28"/>
          <w:szCs w:val="28"/>
        </w:rPr>
        <w:t xml:space="preserve">1) повышение конкуренции между политическими партиями и их кандидатами в каждом из 150 избирательных округов, обусловленное расширенными возможностями политических партий по выдвижению кандидатов в депутаты и увеличением количества политических акторов за счет создания на базе Экологического движения Узбекистана Экологической партии;  </w:t>
      </w:r>
    </w:p>
    <w:p w:rsidR="001045DE" w:rsidRPr="001045DE" w:rsidRDefault="001045DE" w:rsidP="001045DE">
      <w:pPr>
        <w:spacing w:after="120"/>
        <w:ind w:firstLine="357"/>
        <w:jc w:val="both"/>
        <w:rPr>
          <w:sz w:val="28"/>
          <w:szCs w:val="28"/>
        </w:rPr>
      </w:pPr>
      <w:r w:rsidRPr="001045DE">
        <w:rPr>
          <w:sz w:val="28"/>
          <w:szCs w:val="28"/>
        </w:rPr>
        <w:t xml:space="preserve">2) большие возможности для освещения в СМИ агитационного этапа избирательного процесса, а для политических партий — распространения </w:t>
      </w:r>
      <w:r w:rsidRPr="001045DE">
        <w:rPr>
          <w:sz w:val="28"/>
          <w:szCs w:val="28"/>
        </w:rPr>
        <w:lastRenderedPageBreak/>
        <w:t xml:space="preserve">предвыборных программ и заявлений кандидатов, создание демо-роликов, ориентированных на восприятие различными целевыми аудиториями; </w:t>
      </w:r>
    </w:p>
    <w:p w:rsidR="001045DE" w:rsidRPr="001045DE" w:rsidRDefault="001045DE" w:rsidP="001045DE">
      <w:pPr>
        <w:spacing w:after="120"/>
        <w:ind w:firstLine="357"/>
        <w:jc w:val="both"/>
        <w:rPr>
          <w:sz w:val="28"/>
          <w:szCs w:val="28"/>
        </w:rPr>
      </w:pPr>
      <w:r w:rsidRPr="001045DE">
        <w:rPr>
          <w:sz w:val="28"/>
          <w:szCs w:val="28"/>
        </w:rPr>
        <w:t>3) применение в агитации новых форм привлечения сторонников, помимо традиционно используемых, таких как: дебаты представителей политических партий и кандидатов в депутаты в прямом эфире на национальных телевизионных каналах, агитация в Интернете партийными блогерами, продвижение программ партий, отдельных кандидатов в депутаты через создание онлайн-каналов и работу с целевыми сетевыми группами;</w:t>
      </w:r>
    </w:p>
    <w:p w:rsidR="001045DE" w:rsidRPr="001045DE" w:rsidRDefault="001045DE" w:rsidP="001045DE">
      <w:pPr>
        <w:spacing w:after="120"/>
        <w:ind w:firstLine="357"/>
        <w:jc w:val="both"/>
        <w:rPr>
          <w:sz w:val="28"/>
          <w:szCs w:val="28"/>
        </w:rPr>
      </w:pPr>
      <w:r w:rsidRPr="001045DE">
        <w:rPr>
          <w:sz w:val="28"/>
          <w:szCs w:val="28"/>
        </w:rPr>
        <w:t>4) сочетание агитационных и просветительских проектов, таких как проведение масштабных мероприятий, в том числе митингов</w:t>
      </w:r>
      <w:r w:rsidRPr="001045DE" w:rsidDel="00F147DE">
        <w:rPr>
          <w:sz w:val="28"/>
          <w:szCs w:val="28"/>
        </w:rPr>
        <w:t xml:space="preserve"> </w:t>
      </w:r>
      <w:r w:rsidRPr="001045DE">
        <w:rPr>
          <w:sz w:val="28"/>
          <w:szCs w:val="28"/>
        </w:rPr>
        <w:t>политических партий во всех районах Республики Узбекистан на открытом воздухе, организация конкурсов патриотического характера.</w:t>
      </w:r>
    </w:p>
    <w:p w:rsidR="001045DE" w:rsidRPr="001045DE" w:rsidRDefault="001045DE" w:rsidP="001045DE">
      <w:pPr>
        <w:spacing w:after="120"/>
        <w:ind w:firstLine="357"/>
        <w:jc w:val="both"/>
        <w:rPr>
          <w:sz w:val="28"/>
          <w:szCs w:val="28"/>
        </w:rPr>
      </w:pPr>
      <w:r w:rsidRPr="001045DE">
        <w:rPr>
          <w:sz w:val="28"/>
          <w:szCs w:val="28"/>
        </w:rPr>
        <w:t>Кандидаты в депутаты и выдвинувшие их политические партии в полном объеме воспользовались предоставленным законом правом проведения агитационной кампании в печатных и электронных СМИ Республики Узбекистан. Предвыборные материалы размещались в предусмотренных законом местах при активном содействии органов региональной и местной власти. Информация о кандидатах доставлялась избирателям вместе с уведомлением об адресе избирательного участка и о времени его работы в день голосования. Выдержки из предвыборных программ кандидатов были размещены на сайте ЦИК. Печатные и электронные СМИ национального, регионального и местного уровня регулярно информировали граждан Республики Узбекистан о ходе подготовки к проведению выборов, детально освещая работу ЦИК, окружных и участковых избирательных комиссий, деятельность органов исполнительной власти по созданию благоприятных условий для волеизъявления граждан. В установленные законом сроки в общенациональных печатных изданиях была размещена информация о предвыборных съездах политических партий и выдвинутых на них кандидатах в депутаты Законодательной палаты Олий Мажлиса. В период проведения агитации в региональных и местных газетах были опубликованы биографии и предвыборные программы зарегистрированных в избирательных округах кандидатов. Фактов создания препятствий для доступа к средствам массовой информации по политическим соображениям или вмешательства органов государственной (местной) власти в ход предвыборной кампании международными наблюдателями от МПА СНГ выявлено не было.</w:t>
      </w:r>
    </w:p>
    <w:p w:rsidR="001045DE" w:rsidRPr="001045DE" w:rsidRDefault="001045DE" w:rsidP="001045DE">
      <w:pPr>
        <w:spacing w:after="120"/>
        <w:ind w:firstLine="357"/>
        <w:jc w:val="both"/>
        <w:rPr>
          <w:sz w:val="28"/>
          <w:szCs w:val="28"/>
        </w:rPr>
      </w:pPr>
      <w:r w:rsidRPr="001045DE">
        <w:rPr>
          <w:sz w:val="28"/>
          <w:szCs w:val="28"/>
        </w:rPr>
        <w:t>Также по результатам мониторинга не выявлено нарушений порядка финансирования агитационных мероприятий, установленного законом, предписывающим проведение предвыборной агитации исключительно за счет средств, специально выделяемых из государственного бюджета зарегистрированным кандидатам.</w:t>
      </w:r>
    </w:p>
    <w:p w:rsidR="001045DE" w:rsidRPr="001045DE" w:rsidRDefault="001045DE" w:rsidP="001045DE">
      <w:pPr>
        <w:spacing w:after="120"/>
        <w:ind w:firstLine="357"/>
        <w:jc w:val="both"/>
        <w:rPr>
          <w:sz w:val="28"/>
          <w:szCs w:val="28"/>
        </w:rPr>
      </w:pPr>
      <w:r w:rsidRPr="001045DE">
        <w:rPr>
          <w:sz w:val="28"/>
          <w:szCs w:val="28"/>
        </w:rPr>
        <w:t xml:space="preserve">В период с 12 по 18 декабря 2019 года на всех избирательных участках в Республике Узбекистан и за границей избиратели могли воспользоваться </w:t>
      </w:r>
      <w:r w:rsidRPr="001045DE">
        <w:rPr>
          <w:sz w:val="28"/>
          <w:szCs w:val="28"/>
        </w:rPr>
        <w:lastRenderedPageBreak/>
        <w:t xml:space="preserve">правом на досрочное голосование. С учетом количества граждан, зарегистрировавшихся для голосования на зарубежных избирательных участках, и ограниченной пропускной способности помещений для голосования с целью обеспечения удобства избирателей, находящихся за пределами Республики Узбекистан, применялась практика организации наряду с постоянными избирательными участками в дипломатических и консульских представительствах передвижных избирательных участков. Так, например, в Российской Федерации на этапе досрочного голосования помимо восьми стационарных избирательных участков дополнительно работали </w:t>
      </w:r>
      <w:r w:rsidRPr="001045DE">
        <w:rPr>
          <w:sz w:val="28"/>
          <w:szCs w:val="28"/>
        </w:rPr>
        <w:br/>
        <w:t>57 передвижных. Всего в досрочном голосовании приняли участие более 147 тысяч избирателей, в том числе в Республике Узбекистан — 59 266 человек, на зарубежных избирательных участках — 87 807 человек.</w:t>
      </w:r>
    </w:p>
    <w:p w:rsidR="001045DE" w:rsidRPr="001045DE" w:rsidRDefault="001045DE" w:rsidP="001045DE">
      <w:pPr>
        <w:spacing w:after="120"/>
        <w:jc w:val="center"/>
        <w:rPr>
          <w:b/>
          <w:sz w:val="28"/>
          <w:szCs w:val="28"/>
        </w:rPr>
      </w:pPr>
      <w:r w:rsidRPr="001045DE">
        <w:rPr>
          <w:b/>
          <w:sz w:val="28"/>
          <w:szCs w:val="28"/>
        </w:rPr>
        <w:t>Долгосрочное наблюдение</w:t>
      </w:r>
    </w:p>
    <w:p w:rsidR="001045DE" w:rsidRPr="001045DE" w:rsidRDefault="001045DE" w:rsidP="001045DE">
      <w:pPr>
        <w:spacing w:after="120"/>
        <w:ind w:firstLine="357"/>
        <w:jc w:val="both"/>
        <w:rPr>
          <w:sz w:val="28"/>
          <w:szCs w:val="28"/>
        </w:rPr>
      </w:pPr>
      <w:r w:rsidRPr="001045DE">
        <w:rPr>
          <w:sz w:val="28"/>
          <w:szCs w:val="28"/>
        </w:rPr>
        <w:t xml:space="preserve">В рамках долгосрочного мониторинга с 30 ноября по 3 декабря 2019 года состоялась рабочая поездка в Республику Узбекистан членов группы международных наблюдателей от МПА СНГ из числа сотрудников и экспертов МИМРД МПА СНГ. </w:t>
      </w:r>
    </w:p>
    <w:p w:rsidR="001045DE" w:rsidRPr="001045DE" w:rsidRDefault="001045DE" w:rsidP="001045DE">
      <w:pPr>
        <w:spacing w:after="120"/>
        <w:ind w:firstLine="357"/>
        <w:jc w:val="both"/>
        <w:rPr>
          <w:sz w:val="28"/>
          <w:szCs w:val="28"/>
        </w:rPr>
      </w:pPr>
      <w:r w:rsidRPr="001045DE">
        <w:rPr>
          <w:sz w:val="28"/>
          <w:szCs w:val="28"/>
        </w:rPr>
        <w:t xml:space="preserve">В ходе поездки были проведены встречи в Центральной избирательной комиссии, Сенате Олий Мажлиса Республики Узбекистан, штабах пяти политических партий, окружных и участковых избирательных комиссиях города Ташкент. </w:t>
      </w:r>
    </w:p>
    <w:p w:rsidR="001045DE" w:rsidRPr="001045DE" w:rsidRDefault="001045DE" w:rsidP="001045DE">
      <w:pPr>
        <w:spacing w:after="120"/>
        <w:ind w:firstLine="357"/>
        <w:jc w:val="both"/>
        <w:rPr>
          <w:sz w:val="28"/>
          <w:szCs w:val="28"/>
        </w:rPr>
      </w:pPr>
      <w:r w:rsidRPr="001045DE">
        <w:rPr>
          <w:sz w:val="28"/>
          <w:szCs w:val="28"/>
        </w:rPr>
        <w:t>Председатель ЦИК М.-У. Э. Абдусаломов проинформировал членов мониторинговой группы о работе избирательных комиссий всех уровней по подготовке к проведению голосования 22 декабря 2019 года, а также о комплексе учебных программ, реализованных с привлечением ученых и экспертов-практиков и направленных на повышение профессионализма членов избирательных комиссий и иных участников избирательного процесса. В ходе посещения двух окружных и четырех участковых избирательных комиссий в Ташкенте наблюдатели получили развернутую информацию о работе по уточнению списков избирателей и о готовности избирательных участков в Республике Узбекистан, а также в дипломатических представительствах за границей к проведению досрочного голосования начиная с 12 декабря 2019 года.</w:t>
      </w:r>
    </w:p>
    <w:p w:rsidR="001045DE" w:rsidRPr="001045DE" w:rsidRDefault="001045DE" w:rsidP="001045DE">
      <w:pPr>
        <w:spacing w:after="120"/>
        <w:ind w:firstLine="357"/>
        <w:jc w:val="both"/>
        <w:rPr>
          <w:sz w:val="28"/>
          <w:szCs w:val="28"/>
        </w:rPr>
      </w:pPr>
      <w:r w:rsidRPr="001045DE">
        <w:rPr>
          <w:sz w:val="28"/>
          <w:szCs w:val="28"/>
        </w:rPr>
        <w:t>На встрече с первым заместителем Председателя Сената Олий Мажлиса Республики Узбекистан С. С. Сафоевым обсуждалась деятельность структур законодательной ветви власти республики по совершенствованию электорального законодательства и мониторингу правоприменительной практики в данной сфере, открытость процесса обсуждения проекта Избирательного кодекса на стадии его разработки, возможность подачи предложений для их учета в окончательной редакции законопроекта, важность предстоящих выборов для успешного развития начатых в стране реформ.</w:t>
      </w:r>
    </w:p>
    <w:p w:rsidR="001045DE" w:rsidRPr="001045DE" w:rsidRDefault="001045DE" w:rsidP="001045DE">
      <w:pPr>
        <w:spacing w:after="120"/>
        <w:ind w:firstLine="357"/>
        <w:jc w:val="both"/>
        <w:rPr>
          <w:sz w:val="28"/>
          <w:szCs w:val="28"/>
        </w:rPr>
      </w:pPr>
      <w:r w:rsidRPr="001045DE">
        <w:rPr>
          <w:sz w:val="28"/>
          <w:szCs w:val="28"/>
        </w:rPr>
        <w:lastRenderedPageBreak/>
        <w:t>1–2 декабря 2019 года в Ташкенте наблюдатели провели встречи в предвыборных штабах с лидерами всех пяти политических партий, выдвинувших своих кандидатов в депутаты Законодательной палаты Олий Мажлиса. Руководители штабов и их сотрудники поделились своими оценками избирательной кампании, рассказали о предвыборных съездах, об утверждении партийных программ и предвыборных программ отдельных кандидатов, а также о стратегиях партий по ведению агитационной кампании. В ходе состоявшихся встреч замечаний в адрес ЦИК и нижестоящих комиссий высказано не было. Представители политических сил определяли текущую избирательную кампанию как имеющую ярко выраженный состязательный характер, открытую, предоставляющую широкие возможности по привлечению сторонников путем прямой агитации и с использованием ресурсов СМИ и Интернета.</w:t>
      </w:r>
    </w:p>
    <w:p w:rsidR="001045DE" w:rsidRPr="001045DE" w:rsidRDefault="001045DE" w:rsidP="001045DE">
      <w:pPr>
        <w:spacing w:after="120"/>
        <w:ind w:firstLine="357"/>
        <w:jc w:val="both"/>
        <w:rPr>
          <w:sz w:val="28"/>
          <w:szCs w:val="28"/>
        </w:rPr>
      </w:pPr>
      <w:r w:rsidRPr="001045DE">
        <w:rPr>
          <w:sz w:val="28"/>
          <w:szCs w:val="28"/>
        </w:rPr>
        <w:t>В ходе посещения Республики Узбекистан на этапе долгосрочного мониторинга наблюдатели от МПА СНГ получили возможность в деталях познакомиться с процессом информирования граждан о предстоящих выборах. Мониторинг показал, что ЦИК и нижестоящие избирательные комиссии Республики Узбекистан эффективно использовали все предусмотренные национальным законодательством формы привлечения граждан на избирательные участки и информирования их о порядке проведения голосования. Среди них: размещение агитационных материалов в периодических и специальных предвыборных изданиях; расположение рекламных плакатов и билбордов в общественных местах; трансляция информационных сообщений и агитационных роликов на уличных световых экранах, в зданиях объектов транспортной инфраструктуры и транспортных средствах, ротация сообщений и информационных роликов о предстоящих выборах на каналах телевидения и радио, а также в Интернете на сайтах ЦИК, областных, городских и окружных избирательных комиссий на узбекском, каракалпакском и русском языках.</w:t>
      </w:r>
    </w:p>
    <w:p w:rsidR="001045DE" w:rsidRPr="001045DE" w:rsidRDefault="001045DE" w:rsidP="001045DE">
      <w:pPr>
        <w:spacing w:after="120"/>
        <w:jc w:val="center"/>
        <w:rPr>
          <w:b/>
          <w:sz w:val="28"/>
          <w:szCs w:val="28"/>
        </w:rPr>
      </w:pPr>
      <w:r w:rsidRPr="001045DE">
        <w:rPr>
          <w:b/>
          <w:sz w:val="28"/>
          <w:szCs w:val="28"/>
        </w:rPr>
        <w:t>Краткосрочное наблюдение</w:t>
      </w:r>
    </w:p>
    <w:p w:rsidR="001045DE" w:rsidRPr="001045DE" w:rsidRDefault="001045DE" w:rsidP="001045DE">
      <w:pPr>
        <w:spacing w:after="120"/>
        <w:ind w:firstLine="357"/>
        <w:jc w:val="both"/>
        <w:rPr>
          <w:sz w:val="28"/>
          <w:szCs w:val="28"/>
        </w:rPr>
      </w:pPr>
      <w:r w:rsidRPr="001045DE">
        <w:rPr>
          <w:sz w:val="28"/>
          <w:szCs w:val="28"/>
        </w:rPr>
        <w:t>Группа международных наблюдателей от МПА СНГ общей численностью 37 человек, состоящая из парламентариев семи государств-участников, руководителей и сотрудников Секретариата Совета МПА СНГ, экспертов МИМРД МПА СНГ, в период с 19 по 22 декабря осуществляла мониторинг кампании по выборам в Законодательную палату Олий Мажлиса Республики Узбекистан на завершающем этапе, включая дату голосования; 27 членов группы международных наблюдателей проводили мероприятия по наблюдению за выборами, находясь в Ташкенте, 10 осуществляли наблюдение за ходом голосования на зарубежных участках в Баку, Минске, Бишкеке и Санкт-Петербурге.</w:t>
      </w:r>
    </w:p>
    <w:p w:rsidR="001045DE" w:rsidRPr="001045DE" w:rsidRDefault="001045DE" w:rsidP="001045DE">
      <w:pPr>
        <w:spacing w:after="120"/>
        <w:ind w:firstLine="357"/>
        <w:jc w:val="both"/>
        <w:rPr>
          <w:sz w:val="28"/>
          <w:szCs w:val="28"/>
        </w:rPr>
      </w:pPr>
      <w:r w:rsidRPr="001045DE">
        <w:rPr>
          <w:sz w:val="28"/>
          <w:szCs w:val="28"/>
        </w:rPr>
        <w:t xml:space="preserve">20–21 декабря 2019 года в рамках краткосрочного мониторинга группа наблюдателей от МПА СНГ провела ряд встреч с участниками избирательного процесса. </w:t>
      </w:r>
    </w:p>
    <w:p w:rsidR="001045DE" w:rsidRPr="001045DE" w:rsidRDefault="001045DE" w:rsidP="001045DE">
      <w:pPr>
        <w:spacing w:after="120"/>
        <w:ind w:firstLine="357"/>
        <w:jc w:val="both"/>
        <w:rPr>
          <w:sz w:val="28"/>
          <w:szCs w:val="28"/>
        </w:rPr>
      </w:pPr>
      <w:r w:rsidRPr="001045DE">
        <w:rPr>
          <w:sz w:val="28"/>
          <w:szCs w:val="28"/>
        </w:rPr>
        <w:lastRenderedPageBreak/>
        <w:t>20 декабря 2019 года в ходе посещения окружной избирательной комиссии № 141 наблюдатели от МПА СНГ ознакомились с работой по составлению и корректировке списков избирателей, организации информирования избирателей о дате и месте голосования, а также о кандидатах, включенных в округе в избирательный бюллетень, обучения членов окружной и участковых избирательных комиссий, оценили уровень технической оснащенности ситуационного центра и готовности оборудования и членов участковых избирательных комиссий к работе с государственными информационными ресурсами. Председатель окружной избирательной комиссии А. А. Рискулов дал развернутые пояснения обо всех этапах подготовки к проведению выборов и о новых технологиях, используемых для учета избирателей (ЕЭСИ).</w:t>
      </w:r>
    </w:p>
    <w:p w:rsidR="001045DE" w:rsidRPr="001045DE" w:rsidRDefault="001045DE" w:rsidP="001045DE">
      <w:pPr>
        <w:spacing w:after="120"/>
        <w:ind w:firstLine="357"/>
        <w:jc w:val="both"/>
        <w:rPr>
          <w:sz w:val="28"/>
          <w:szCs w:val="28"/>
        </w:rPr>
      </w:pPr>
      <w:r w:rsidRPr="001045DE">
        <w:rPr>
          <w:sz w:val="28"/>
          <w:szCs w:val="28"/>
        </w:rPr>
        <w:t xml:space="preserve">Посетив участковые избирательные комиссии № 219 и 141 в Ташкенте, наблюдатели ознакомились с подготовкой участков для голосования к дню выборов. На избирательных участках была проверена готовность помещений к проведению голосования, в частности, наблюдатели убедились в наличии на участке элементов безбарьерной среды, обеспечивающих условия для голосования лицам с ограниченными возможностями. Наблюдатели констатировали полную материально-техническую готовность участковых избирательных комиссий к проведению голосования. Списки избирателей, зарегистрированных на избирательном участке, и информационные материалы о кандидатах в депутаты по данному избирательному округу были размещены для ознакомления в общедоступном месте. Нарушений в деятельности окружной и участковых избирательных комиссий на этапе подготовки к голосованию выявлено не было. </w:t>
      </w:r>
    </w:p>
    <w:p w:rsidR="001045DE" w:rsidRPr="001045DE" w:rsidRDefault="001045DE" w:rsidP="001045DE">
      <w:pPr>
        <w:spacing w:after="120"/>
        <w:ind w:firstLine="357"/>
        <w:jc w:val="both"/>
        <w:rPr>
          <w:sz w:val="28"/>
          <w:szCs w:val="28"/>
        </w:rPr>
      </w:pPr>
      <w:r w:rsidRPr="001045DE">
        <w:rPr>
          <w:sz w:val="28"/>
          <w:szCs w:val="28"/>
        </w:rPr>
        <w:t>На встрече с заместителем председателя Центрального совета Народно-демократической партии Узбекистана У. Н. Вафаевым группа международных наблюдателей от МПА СНГ ознакомилась с общей информацией о программе партии, порядке внутрипартийного отбора и выдвижения кандидатов в депутаты,</w:t>
      </w:r>
      <w:r w:rsidRPr="001045DE">
        <w:rPr>
          <w:color w:val="FF0000"/>
          <w:sz w:val="28"/>
          <w:szCs w:val="28"/>
        </w:rPr>
        <w:t xml:space="preserve"> </w:t>
      </w:r>
      <w:r w:rsidRPr="001045DE">
        <w:rPr>
          <w:sz w:val="28"/>
          <w:szCs w:val="28"/>
        </w:rPr>
        <w:t xml:space="preserve">информацией о наличии кандидата в депутаты от партии во всех 150 избирательных округах, о работе партийных структур на этапе предвыборной агитации. Участникам встречи были продемонстрированы образцы печатной агитации и видеоролики, размещавшиеся на телевизионных каналах и в Интернете. Представители партии ответили на вопросы наблюдателей о механизме отзыва кандидатов в депутаты на стадии подготовки к выборам. У. Н. Вафаев дал высокую оценку деятельности ЦИК на этапе разработки нового Избирательного кодекса и при организации текущей избирательной кампании, сообщил об отсутствии нарушений прав кандидатов от Народно-демократической партии Узбекистана в ходе регистрации кандидатов, а также на этапе предвыборной агитации. Он рассказал о большом внимании, которое партия уделяет повышению роли женщин в политической жизни, позитивно оценил нововведения Избирательного кодекса, касающиеся установления квоты для </w:t>
      </w:r>
      <w:r w:rsidRPr="001045DE">
        <w:rPr>
          <w:sz w:val="28"/>
          <w:szCs w:val="28"/>
        </w:rPr>
        <w:lastRenderedPageBreak/>
        <w:t xml:space="preserve">кандидатов-женщин. Среди кандидатов от партии на выборах женщины составили 40%.  </w:t>
      </w:r>
    </w:p>
    <w:p w:rsidR="001045DE" w:rsidRPr="001045DE" w:rsidRDefault="001045DE" w:rsidP="001045DE">
      <w:pPr>
        <w:spacing w:after="120"/>
        <w:ind w:firstLine="357"/>
        <w:jc w:val="both"/>
        <w:rPr>
          <w:sz w:val="28"/>
          <w:szCs w:val="28"/>
        </w:rPr>
      </w:pPr>
      <w:r w:rsidRPr="001045DE">
        <w:rPr>
          <w:sz w:val="28"/>
          <w:szCs w:val="28"/>
        </w:rPr>
        <w:t>На встрече в офисе Демократической партии Узбекистана «Миллий тикланиш» заместитель председателя ее Центрального совета Ф. Х. Мухамеджанова рассказала наблюдателям об обновлении руководящего состава и общей стратегии партии накануне выборов, изменении системы отбора кандидатов в депутаты Законодательной палаты Олий Мажлиса, создании приоритетных условий для появления на политической арене молодежи. Она отметила такие новации, примененные партией «Миллий тикланиш», как активная агитация с использованием современных информационно-коммуникационных технологий, контрагитация посредством политической карикатуры по отношению к партиям-конкурентам, целенаправленная работа с различными группами трудящейся молодежи и студентами вузов. Партия большое внимание уделяет защите интересов слабовидящих или незрячих избирателей, для них методом Брайля была напечатана предвыборная программа. Ф. Х. Мухамеджанова отметила, что ЦИК и другие избирательные комиссии точно и беспристрастно исполняют требования избирательного законодательства Республики Узбекистан, регламентирующего деятельность организаторов выборов в предвыборный период.</w:t>
      </w:r>
    </w:p>
    <w:p w:rsidR="001045DE" w:rsidRPr="001045DE" w:rsidRDefault="001045DE" w:rsidP="001045DE">
      <w:pPr>
        <w:spacing w:after="120"/>
        <w:ind w:firstLine="357"/>
        <w:jc w:val="both"/>
        <w:rPr>
          <w:sz w:val="28"/>
          <w:szCs w:val="28"/>
        </w:rPr>
      </w:pPr>
      <w:r w:rsidRPr="001045DE">
        <w:rPr>
          <w:sz w:val="28"/>
          <w:szCs w:val="28"/>
        </w:rPr>
        <w:t xml:space="preserve">В предвыборном штабе Экологической партии Узбекистана состоялась встреча наблюдателей с председателем партии Б. Б. Алихановым. Он поделился своим мнением о работе ЦИК и окружных избирательных комиссий на этапе сбора подписей в поддержку допуска партии к участию в выборах, а также при регистрации партийных кандидатов. По его словам, партия не встречала трудностей при проведении публичных мероприятий в городах Узбекистана, ее программные документы были своевременно опубликованы в печатных СМИ. Замечаний в адрес ЦИК и нижестоящих комиссий представители предвыборного штаба Экологической партии Узбекистана не высказали. </w:t>
      </w:r>
    </w:p>
    <w:p w:rsidR="001045DE" w:rsidRPr="001045DE" w:rsidRDefault="001045DE" w:rsidP="001045DE">
      <w:pPr>
        <w:spacing w:after="120"/>
        <w:ind w:firstLine="357"/>
        <w:jc w:val="both"/>
        <w:rPr>
          <w:spacing w:val="-2"/>
          <w:sz w:val="28"/>
          <w:szCs w:val="28"/>
        </w:rPr>
      </w:pPr>
      <w:r w:rsidRPr="001045DE">
        <w:rPr>
          <w:spacing w:val="-2"/>
          <w:sz w:val="28"/>
          <w:szCs w:val="28"/>
        </w:rPr>
        <w:t>В течение дня 21 декабря 2019 года члены группы международных наблюдателей от МПА СНГ во главе с координатором группы И. М.</w:t>
      </w:r>
      <w:r w:rsidRPr="001045DE">
        <w:rPr>
          <w:spacing w:val="-2"/>
          <w:sz w:val="28"/>
          <w:szCs w:val="28"/>
        </w:rPr>
        <w:noBreakHyphen/>
        <w:t>С. Умахановым посетили Центральную избирательную комиссию, где встретились с ее Председателем М.</w:t>
      </w:r>
      <w:r w:rsidRPr="001045DE">
        <w:rPr>
          <w:spacing w:val="-2"/>
          <w:sz w:val="28"/>
          <w:szCs w:val="28"/>
        </w:rPr>
        <w:noBreakHyphen/>
        <w:t xml:space="preserve">У. Э. Абдусаломовым. Он проинформировал наблюдателей о масштабной работе, которую проделали в 2017–2019 годах органы власти Узбекистана по совершенствованию избирательного законодательства и принятию 26 июня 2019 года первого в истории страны Избирательного кодекса: при разработке кодекса было изучено электоральное законодательство более 50 стран, проведены консультации с экспертами из государств СНГ и ряда международных организаций; в ходе обсуждения проекта Избирательного кодекса поступило более тысячи предложений и поправок, которые были учтены при утверждении документа. М.-У. Э. Абдусаломов рассказал о деятельности ЦИК по внедрению современных информационно-коммуникационных технологий в </w:t>
      </w:r>
      <w:r w:rsidRPr="001045DE">
        <w:rPr>
          <w:spacing w:val="-2"/>
          <w:sz w:val="28"/>
          <w:szCs w:val="28"/>
        </w:rPr>
        <w:lastRenderedPageBreak/>
        <w:t xml:space="preserve">избирательный процесс, а также о подготовке к их использованию в текущей избирательной кампании, в результате чего 99% избирательных участков Республики Узбекистан теперь имеют выход в Интернет. В ходе данной избирательной кампании проводится эксперимент по организации видеонаблюдения в режиме реального времени. Для этого 60 избирательных участков, расположенных в различных регионах Узбекистана, оснащены системами видеонаблюдения (веб-камеры), что позволит наблюдать за ходом голосования в удаленном режиме. Трансляцию обеспечивает Информационный центр Центральной избирательной комиссии. Председатель ЦИК подробно остановился на работе по обучению каскадным методом членов избирательных комиссий всех уровней, охватившей в предвыборный период 180 тысяч человек, а также на сотрудничестве ЦИК Республики Узбекистан с национальными и зарубежными СМИ в деле освещения всех этапов предвыборного процесса. С 20 сентября 2019 года и до завершения периода агитации 20 декабря 2019 года избирательные комиссии Республики Узбекистан опубликовали в печатных и электронных СМИ свыше 2000 сообщений о ходе подготовки выборов. В этот же период более 35 тысяч раз предвыборные мероприятия политических партий и выступления кандидатов освещались в СМИ Узбекистана и за рубежом. Каждая из пяти участвующих в выборах политических партий провела не менее 200 митингов и иных предвыборных мероприятий в населенных пунктах страны. Отдельно было обращено внимание на создание всех условий для оценки хода избирательного процесса национальными и международными наблюдателями, число которых для Республики Узбекистан на этих выборах беспрецедентно высоко — ЦИК зарегистрировано 825 международных и более 70 000 национальных наблюдателей. </w:t>
      </w:r>
    </w:p>
    <w:p w:rsidR="001045DE" w:rsidRPr="001045DE" w:rsidRDefault="001045DE" w:rsidP="001045DE">
      <w:pPr>
        <w:spacing w:after="120"/>
        <w:ind w:firstLine="357"/>
        <w:jc w:val="both"/>
        <w:rPr>
          <w:sz w:val="28"/>
          <w:szCs w:val="28"/>
        </w:rPr>
      </w:pPr>
      <w:r w:rsidRPr="001045DE">
        <w:rPr>
          <w:sz w:val="28"/>
          <w:szCs w:val="28"/>
        </w:rPr>
        <w:t>В ответном слове координатор группы наблюдателей от МПА СНГ И. М.</w:t>
      </w:r>
      <w:r w:rsidRPr="001045DE">
        <w:rPr>
          <w:sz w:val="28"/>
          <w:szCs w:val="28"/>
        </w:rPr>
        <w:noBreakHyphen/>
        <w:t>С. Умаханов сообщил о работе группы на этапе долгосрочного мониторинга, поделился первыми впечатлениями о наблюдении за подготовкой к проведению выборов на краткосрочном этапе, а также рассказал, в каких регионах Республики Узбекистан и иностранных государствах наблюдатели от МПА СНГ будут работать в день голосования. В завершение по сложившейся практике Председателю ЦИК были переданы экземпляры «Заключения о соответствии законодательства, регулирующего выборы Законодательной палаты Олий Мажлиса Республики Узбекистан, международным избирательным стандартам» и «Отчета экспертной группы долгосрочного мониторинга подготовки и проведения выборов в Законодательную палату Олий Мажлиса Республики Узбекистан». Посещение Центральной избирательной комиссии завершилось пресс-конференцией, в которой приняли участие журналисты СМИ Узбекистана и зарубежных стран.</w:t>
      </w:r>
    </w:p>
    <w:p w:rsidR="001045DE" w:rsidRPr="001045DE" w:rsidRDefault="001045DE" w:rsidP="001045DE">
      <w:pPr>
        <w:spacing w:after="120"/>
        <w:ind w:firstLine="357"/>
        <w:jc w:val="both"/>
        <w:rPr>
          <w:sz w:val="28"/>
          <w:szCs w:val="28"/>
        </w:rPr>
      </w:pPr>
      <w:r w:rsidRPr="001045DE">
        <w:rPr>
          <w:sz w:val="28"/>
          <w:szCs w:val="28"/>
        </w:rPr>
        <w:t xml:space="preserve">В Сенате Олий Мажлиса Республики Узбекистан наблюдатели встретились с председателем Комитета по вопросам международных отношений, внешнеэкономических связей, иностранных инвестиций и </w:t>
      </w:r>
      <w:r w:rsidRPr="001045DE">
        <w:rPr>
          <w:sz w:val="28"/>
          <w:szCs w:val="28"/>
        </w:rPr>
        <w:lastRenderedPageBreak/>
        <w:t>туризма А. А. Курмановым. Он подчеркнул фундаментальный характер изменений в политической системе Узбекистана, активную роль законодательной ветви власти в реализации программы реформ в стране, усиление роли парламента в системе органов государственной власти, а также значение международного мониторинга выборов для дальнейшего совершенствования законодательства Республики Узбекистан в электоральной сфере.</w:t>
      </w:r>
    </w:p>
    <w:p w:rsidR="001045DE" w:rsidRPr="001045DE" w:rsidRDefault="001045DE" w:rsidP="001045DE">
      <w:pPr>
        <w:spacing w:after="120"/>
        <w:ind w:firstLine="357"/>
        <w:jc w:val="both"/>
        <w:rPr>
          <w:spacing w:val="-2"/>
          <w:sz w:val="28"/>
          <w:szCs w:val="28"/>
        </w:rPr>
      </w:pPr>
      <w:r w:rsidRPr="001045DE">
        <w:rPr>
          <w:spacing w:val="-2"/>
          <w:sz w:val="28"/>
          <w:szCs w:val="28"/>
        </w:rPr>
        <w:t xml:space="preserve">Завершила серию встреч с руководителями предвыборных штабов политических партий беседа представителей группы наблюдателей от МПА СНГ с председателем Исполнительного комитета Политического совета Движения предпринимателей и деловых людей — Либерально-демократической партии Узбекистана А. А. Хаитовым. Он дал высокую оценку Избирательному кодексу и рассказал о большой роли его партии в разработке кодекса, а также положительно отозвался о работе региональных и местных органов власти по подготовке к проведению голосования на избирательных участках. </w:t>
      </w:r>
    </w:p>
    <w:p w:rsidR="001045DE" w:rsidRPr="001045DE" w:rsidRDefault="001045DE" w:rsidP="001045DE">
      <w:pPr>
        <w:spacing w:after="120"/>
        <w:ind w:firstLine="357"/>
        <w:jc w:val="both"/>
        <w:rPr>
          <w:sz w:val="28"/>
          <w:szCs w:val="28"/>
        </w:rPr>
      </w:pPr>
      <w:r w:rsidRPr="001045DE">
        <w:rPr>
          <w:sz w:val="28"/>
          <w:szCs w:val="28"/>
        </w:rPr>
        <w:t xml:space="preserve">Группа наблюдателей от МПА СНГ отмечает, что все участники встреч со стороны Узбекистана определяли агитацию и передачу различного рода информации, а также координацию действий национальных наблюдателей и доверенных лиц посредством Интернета как полноценный организационный и информационный ресурс, ставший обычной практикой избирательного процесса, что требует отдельного законодательного регулирования. </w:t>
      </w:r>
    </w:p>
    <w:p w:rsidR="001045DE" w:rsidRPr="001045DE" w:rsidRDefault="001045DE" w:rsidP="001045DE">
      <w:pPr>
        <w:spacing w:after="120"/>
        <w:ind w:firstLine="357"/>
        <w:jc w:val="both"/>
        <w:rPr>
          <w:spacing w:val="-2"/>
          <w:sz w:val="28"/>
          <w:szCs w:val="28"/>
        </w:rPr>
      </w:pPr>
      <w:r w:rsidRPr="001045DE">
        <w:rPr>
          <w:spacing w:val="-2"/>
          <w:sz w:val="28"/>
          <w:szCs w:val="28"/>
        </w:rPr>
        <w:t>Члены мониторинговой группы наблюдали ход досрочного голосования на четырех зарубежных избирательных участках: в Азербайджанской Республике (Баку), Республике Беларусь (Минск), Кыргызской Республике (Бишкек), Российской Федерации (Санкт-Петербург), и убедились в том, что участки в полной мере подготовлены для голосования, работы наблюдателей, подсчета голосов участковыми избирательными комиссиями и информирования об итогах голосования Центральной избирательной комиссии Республики Узбекистан.</w:t>
      </w:r>
    </w:p>
    <w:p w:rsidR="001045DE" w:rsidRPr="001045DE" w:rsidRDefault="001045DE" w:rsidP="001045DE">
      <w:pPr>
        <w:spacing w:after="120"/>
        <w:ind w:firstLine="357"/>
        <w:jc w:val="both"/>
        <w:rPr>
          <w:sz w:val="28"/>
          <w:szCs w:val="28"/>
        </w:rPr>
      </w:pPr>
      <w:r w:rsidRPr="001045DE">
        <w:rPr>
          <w:sz w:val="28"/>
          <w:szCs w:val="28"/>
        </w:rPr>
        <w:t xml:space="preserve">В день проведения голосования на выборах в Законодательную палату Олий Мажлиса Республики Узбекистан, 22 декабря 2019 года, международные наблюдатели от МПА СНГ присутствовали на различных этапах проведения голосования — от открытия участков до подсчета голосов участковыми избирательными комиссиями. Осуществляя наблюдение за ходом выборов и подсчетом голосов избирателей, наблюдатели в общей сложности посетили 12 окружных избирательных комиссий и 145 избирательных участков, расположенных в Ташкенте, Ташкентской, Бухарской, Самаркандской и Сырдарьинской областях, а также зарубежные избирательные участки в Баку, Бишкеке, Минске и Санкт-Петербурге. </w:t>
      </w:r>
    </w:p>
    <w:p w:rsidR="001045DE" w:rsidRPr="001045DE" w:rsidRDefault="001045DE" w:rsidP="001045DE">
      <w:pPr>
        <w:spacing w:after="120"/>
        <w:ind w:firstLine="357"/>
        <w:jc w:val="both"/>
        <w:rPr>
          <w:sz w:val="28"/>
          <w:szCs w:val="28"/>
        </w:rPr>
      </w:pPr>
      <w:r w:rsidRPr="001045DE">
        <w:rPr>
          <w:sz w:val="28"/>
          <w:szCs w:val="28"/>
        </w:rPr>
        <w:t xml:space="preserve">В день голосования состоялась встреча руководства группы международных наблюдателей от МПА СНГ с главой миссии БДИПЧ ОБСЕ по наблюдению за выборами в Республике Узбекистан К. де Зулуетой </w:t>
      </w:r>
      <w:r w:rsidRPr="001045DE">
        <w:rPr>
          <w:sz w:val="28"/>
          <w:szCs w:val="28"/>
        </w:rPr>
        <w:lastRenderedPageBreak/>
        <w:t xml:space="preserve">Оутрам. В ходе встречи представители СНГ, отметив национальные особенности нового Избирательного кодекса, подчеркнули, что он дает возможность проведения выборов в соответствии с международными стандартами, охарактеризовали период, в который проходит избирательная кампания, как время больших ожиданий и больших надежд. Также был отмечен высокий организационный уровень выборов, конструктивный характер политической конкуренции, когда агитация строится не на недостатках программ соперника, а на отстаивании своих преимуществ, программы партий посвящены решению реальных проблем избирателей. К. де Зулуета Оутрам со своей стороны согласилась с оценкой Избирательного кодекса Республики Узбекистан, данной группой наблюдателей от МПА СНГ, и подчеркнула важность выборов для успешных реформ в стране. Кроме того, участники встречи поделились статистической информацией о составе групп наблюдателей и географии мониторинга. </w:t>
      </w:r>
    </w:p>
    <w:p w:rsidR="001045DE" w:rsidRPr="001045DE" w:rsidRDefault="001045DE" w:rsidP="001045DE">
      <w:pPr>
        <w:spacing w:after="120"/>
        <w:ind w:firstLine="357"/>
        <w:jc w:val="both"/>
        <w:rPr>
          <w:sz w:val="28"/>
          <w:szCs w:val="28"/>
        </w:rPr>
      </w:pPr>
      <w:r w:rsidRPr="001045DE">
        <w:rPr>
          <w:sz w:val="28"/>
          <w:szCs w:val="28"/>
        </w:rPr>
        <w:t xml:space="preserve">Все посещенные наблюдателями избирательные участки в регионах, где осуществлялся мониторинг, открылись в соответствии с избирательным законодательством Республики Узбекистан не позднее 08:00 по местному времени. Процедуры голосования исполнялись в точном соответствии с избирательным законодательством Республики Узбекистан. Каждый избиратель имел право на равный и беспрепятственный доступ на избирательный участок с тем, чтобы реализовать свое право голоса. Голосование осуществлялось в надлежащим образом оборудованных кабинах, что обеспечило соблюдение принципа тайного голосования и требования о недопустимости постороннего влияния на выбор избирателей. </w:t>
      </w:r>
    </w:p>
    <w:p w:rsidR="001045DE" w:rsidRPr="001045DE" w:rsidRDefault="001045DE" w:rsidP="001045DE">
      <w:pPr>
        <w:spacing w:after="120"/>
        <w:ind w:firstLine="357"/>
        <w:jc w:val="both"/>
        <w:rPr>
          <w:sz w:val="28"/>
          <w:szCs w:val="28"/>
        </w:rPr>
      </w:pPr>
      <w:r w:rsidRPr="001045DE">
        <w:rPr>
          <w:sz w:val="28"/>
          <w:szCs w:val="28"/>
        </w:rPr>
        <w:t xml:space="preserve">Ни на одном из посещенных международными наблюдателями участков не выявлены факты вмешательства в работу избирательных комиссий административных или правоохранительных органов. </w:t>
      </w:r>
    </w:p>
    <w:p w:rsidR="001045DE" w:rsidRPr="001045DE" w:rsidRDefault="001045DE" w:rsidP="001045DE">
      <w:pPr>
        <w:spacing w:after="120"/>
        <w:ind w:firstLine="357"/>
        <w:jc w:val="both"/>
        <w:rPr>
          <w:sz w:val="28"/>
          <w:szCs w:val="28"/>
        </w:rPr>
      </w:pPr>
      <w:r w:rsidRPr="001045DE">
        <w:rPr>
          <w:sz w:val="28"/>
          <w:szCs w:val="28"/>
        </w:rPr>
        <w:t xml:space="preserve">На всех избирательных участках, охваченных мониторингом в день голосования, 22 декабря 2019 года, присутствовали наблюдатели от кандидатов и политических партий, а также от общественных организаций. В наблюдении активно участвовали члены иностранных мониторинговых миссий, представляющих международные организации и отдельные государства. На момент посещения избирательных участков ими не было высказано существенных замечаний по вопросам организации и проведения процедуры голосования. </w:t>
      </w:r>
    </w:p>
    <w:p w:rsidR="001045DE" w:rsidRPr="001045DE" w:rsidRDefault="001045DE" w:rsidP="001045DE">
      <w:pPr>
        <w:spacing w:after="120"/>
        <w:ind w:firstLine="357"/>
        <w:jc w:val="both"/>
        <w:rPr>
          <w:sz w:val="28"/>
          <w:szCs w:val="28"/>
        </w:rPr>
      </w:pPr>
      <w:r w:rsidRPr="001045DE">
        <w:rPr>
          <w:sz w:val="28"/>
          <w:szCs w:val="28"/>
        </w:rPr>
        <w:t xml:space="preserve">В процессе мониторинга голосования наблюдателями от МПА СНГ были зафиксированы отдельные технические недостатки, не носившие систематического характера и не оказавшие влияния на исход выборов. </w:t>
      </w:r>
    </w:p>
    <w:p w:rsidR="001045DE" w:rsidRPr="001045DE" w:rsidRDefault="001045DE" w:rsidP="001045DE">
      <w:pPr>
        <w:spacing w:after="120"/>
        <w:ind w:firstLine="357"/>
        <w:jc w:val="both"/>
        <w:rPr>
          <w:b/>
          <w:sz w:val="28"/>
          <w:szCs w:val="28"/>
        </w:rPr>
      </w:pPr>
      <w:r w:rsidRPr="001045DE">
        <w:rPr>
          <w:b/>
          <w:sz w:val="28"/>
          <w:szCs w:val="28"/>
        </w:rPr>
        <w:t xml:space="preserve">По результатам мониторинга группа наблюдателей от МПА СНГ отмечает, что избирательное законодательство Республики Узбекистан обеспечило необходимые условия для проведения демократических выборов и соблюдения прав всех участников избирательного процесса. </w:t>
      </w:r>
    </w:p>
    <w:p w:rsidR="001045DE" w:rsidRPr="001045DE" w:rsidRDefault="001045DE" w:rsidP="001045DE">
      <w:pPr>
        <w:spacing w:after="120"/>
        <w:ind w:firstLine="357"/>
        <w:jc w:val="both"/>
        <w:rPr>
          <w:b/>
          <w:sz w:val="28"/>
          <w:szCs w:val="28"/>
        </w:rPr>
      </w:pPr>
      <w:r w:rsidRPr="001045DE">
        <w:rPr>
          <w:b/>
          <w:sz w:val="28"/>
          <w:szCs w:val="28"/>
        </w:rPr>
        <w:lastRenderedPageBreak/>
        <w:t>Были законодательно закреплены широкие возможности для участия в избирательной кампании женщин с установлением представительских квот.</w:t>
      </w:r>
    </w:p>
    <w:p w:rsidR="001045DE" w:rsidRPr="001045DE" w:rsidRDefault="001045DE" w:rsidP="001045DE">
      <w:pPr>
        <w:spacing w:after="120"/>
        <w:ind w:firstLine="357"/>
        <w:jc w:val="both"/>
        <w:rPr>
          <w:b/>
          <w:sz w:val="28"/>
          <w:szCs w:val="28"/>
        </w:rPr>
      </w:pPr>
      <w:r w:rsidRPr="001045DE">
        <w:rPr>
          <w:b/>
          <w:sz w:val="28"/>
          <w:szCs w:val="28"/>
        </w:rPr>
        <w:t>Были созданы условия для реализации права на голосование лиц с ограниченными возможностями.</w:t>
      </w:r>
    </w:p>
    <w:p w:rsidR="001045DE" w:rsidRPr="001045DE" w:rsidRDefault="001045DE" w:rsidP="001045DE">
      <w:pPr>
        <w:spacing w:after="120"/>
        <w:ind w:firstLine="357"/>
        <w:jc w:val="both"/>
        <w:rPr>
          <w:b/>
          <w:sz w:val="28"/>
          <w:szCs w:val="28"/>
        </w:rPr>
      </w:pPr>
      <w:r w:rsidRPr="001045DE">
        <w:rPr>
          <w:b/>
          <w:sz w:val="28"/>
          <w:szCs w:val="28"/>
        </w:rPr>
        <w:t xml:space="preserve">На этапе подготовки к выборам в Законодательную палату Олий Мажлиса избирательные комиссии осуществляли свою деятельность в соответствии с национальным законодательством, на основе принципов гласности и открытости. </w:t>
      </w:r>
    </w:p>
    <w:p w:rsidR="001045DE" w:rsidRPr="001045DE" w:rsidRDefault="001045DE" w:rsidP="001045DE">
      <w:pPr>
        <w:spacing w:after="120"/>
        <w:ind w:firstLine="357"/>
        <w:jc w:val="both"/>
        <w:rPr>
          <w:b/>
          <w:sz w:val="28"/>
          <w:szCs w:val="28"/>
        </w:rPr>
      </w:pPr>
      <w:r w:rsidRPr="001045DE">
        <w:rPr>
          <w:b/>
          <w:sz w:val="28"/>
          <w:szCs w:val="28"/>
        </w:rPr>
        <w:t xml:space="preserve">Агитационная кампания проходила в спокойной обстановке, проявляясь в конструктивной дискуссии между участниками избирательного процесса. Кандидатам в депутаты Законодательной палаты Олий Мажлиса был обеспечен равный доступ к печатным и электронным средствам массовой информации. </w:t>
      </w:r>
    </w:p>
    <w:p w:rsidR="001045DE" w:rsidRPr="001045DE" w:rsidRDefault="001045DE" w:rsidP="001045DE">
      <w:pPr>
        <w:spacing w:after="120"/>
        <w:ind w:firstLine="357"/>
        <w:jc w:val="both"/>
        <w:rPr>
          <w:b/>
          <w:sz w:val="28"/>
          <w:szCs w:val="28"/>
        </w:rPr>
      </w:pPr>
      <w:r w:rsidRPr="001045DE">
        <w:rPr>
          <w:b/>
          <w:sz w:val="28"/>
          <w:szCs w:val="28"/>
        </w:rPr>
        <w:t xml:space="preserve">Наблюдатели обращают внимание на повышенную активность ведения агитации посредством Интернета в ходе текущей избирательной кампании, носящую в основном конструктивный характер, открытость и доступность всех возможных источников информации.  </w:t>
      </w:r>
    </w:p>
    <w:p w:rsidR="001045DE" w:rsidRPr="001045DE" w:rsidRDefault="001045DE" w:rsidP="001045DE">
      <w:pPr>
        <w:spacing w:after="120"/>
        <w:ind w:firstLine="357"/>
        <w:jc w:val="both"/>
        <w:rPr>
          <w:b/>
          <w:sz w:val="28"/>
          <w:szCs w:val="28"/>
        </w:rPr>
      </w:pPr>
      <w:r w:rsidRPr="001045DE">
        <w:rPr>
          <w:b/>
          <w:sz w:val="28"/>
          <w:szCs w:val="28"/>
        </w:rPr>
        <w:t xml:space="preserve">В ходе организации и проведения выборов органами государственной власти Республики Узбекистан обеспечивалось соблюдение статуса международных мониторинговых миссий и оказывалось содействие в реализации их полномочий. </w:t>
      </w:r>
    </w:p>
    <w:p w:rsidR="001045DE" w:rsidRPr="001045DE" w:rsidRDefault="001045DE" w:rsidP="001045DE">
      <w:pPr>
        <w:spacing w:after="120"/>
        <w:ind w:firstLine="357"/>
        <w:jc w:val="both"/>
        <w:rPr>
          <w:b/>
          <w:sz w:val="28"/>
          <w:szCs w:val="28"/>
        </w:rPr>
      </w:pPr>
      <w:r w:rsidRPr="001045DE">
        <w:rPr>
          <w:b/>
          <w:sz w:val="28"/>
          <w:szCs w:val="28"/>
        </w:rPr>
        <w:t>Таким образом, по заключению международных наблюдателей от МПА СНГ, выборы в Законодательную палату Олий Мажлиса Республики Узбекистан, состоявшиеся 22 декабря 2019 года, прошли с соблюдением прав и свобод всех участников избирательного процесса, соответствовали общепризнанным демократическим принципам и нормам организации и проведения свободных, справедливых выборов, а также международным обязательствам Республики Узбекистан по обеспечению прав и свобод всех участников избирательного процесса.</w:t>
      </w:r>
    </w:p>
    <w:p w:rsidR="001045DE" w:rsidRPr="001045DE" w:rsidRDefault="001045DE" w:rsidP="001045DE">
      <w:pPr>
        <w:spacing w:after="120"/>
        <w:ind w:firstLine="357"/>
        <w:jc w:val="both"/>
        <w:rPr>
          <w:b/>
          <w:sz w:val="28"/>
          <w:szCs w:val="28"/>
        </w:rPr>
      </w:pPr>
    </w:p>
    <w:p w:rsidR="001045DE" w:rsidRPr="001045DE" w:rsidRDefault="001045DE" w:rsidP="001045DE">
      <w:pPr>
        <w:tabs>
          <w:tab w:val="left" w:pos="4783"/>
        </w:tabs>
        <w:spacing w:after="120"/>
        <w:rPr>
          <w:b/>
          <w:color w:val="000000"/>
          <w:sz w:val="28"/>
          <w:szCs w:val="28"/>
        </w:rPr>
      </w:pPr>
      <w:r w:rsidRPr="001045DE">
        <w:rPr>
          <w:color w:val="000000"/>
          <w:sz w:val="28"/>
          <w:szCs w:val="28"/>
        </w:rPr>
        <w:t>И. М.-С. Умаханов</w:t>
      </w:r>
      <w:r w:rsidRPr="001045DE">
        <w:rPr>
          <w:b/>
          <w:color w:val="000000"/>
          <w:sz w:val="28"/>
          <w:szCs w:val="28"/>
        </w:rPr>
        <w:tab/>
      </w:r>
      <w:r w:rsidRPr="001045DE">
        <w:rPr>
          <w:color w:val="000000"/>
          <w:sz w:val="28"/>
          <w:szCs w:val="28"/>
        </w:rPr>
        <w:t>К. К. Тайсаев</w:t>
      </w:r>
    </w:p>
    <w:p w:rsidR="001045DE" w:rsidRPr="001045DE" w:rsidRDefault="001045DE" w:rsidP="001045DE">
      <w:pPr>
        <w:tabs>
          <w:tab w:val="left" w:pos="4783"/>
        </w:tabs>
        <w:spacing w:after="120"/>
        <w:rPr>
          <w:b/>
          <w:color w:val="000000"/>
          <w:sz w:val="28"/>
          <w:szCs w:val="28"/>
        </w:rPr>
      </w:pPr>
      <w:r w:rsidRPr="001045DE">
        <w:rPr>
          <w:color w:val="000000"/>
          <w:sz w:val="28"/>
          <w:szCs w:val="28"/>
        </w:rPr>
        <w:t>А. М. Джафаров</w:t>
      </w:r>
      <w:r w:rsidRPr="001045DE">
        <w:rPr>
          <w:b/>
          <w:color w:val="000000"/>
          <w:sz w:val="28"/>
          <w:szCs w:val="28"/>
        </w:rPr>
        <w:tab/>
      </w:r>
      <w:r w:rsidRPr="001045DE">
        <w:rPr>
          <w:color w:val="000000"/>
          <w:sz w:val="28"/>
          <w:szCs w:val="28"/>
        </w:rPr>
        <w:t>Н. Ш. Рахмонова</w:t>
      </w:r>
    </w:p>
    <w:p w:rsidR="001045DE" w:rsidRPr="001045DE" w:rsidRDefault="001045DE" w:rsidP="001045DE">
      <w:pPr>
        <w:tabs>
          <w:tab w:val="left" w:pos="4783"/>
        </w:tabs>
        <w:spacing w:after="120"/>
        <w:rPr>
          <w:b/>
          <w:color w:val="000000"/>
          <w:sz w:val="28"/>
          <w:szCs w:val="28"/>
        </w:rPr>
      </w:pPr>
      <w:r w:rsidRPr="001045DE">
        <w:rPr>
          <w:color w:val="000000"/>
          <w:sz w:val="28"/>
          <w:szCs w:val="28"/>
        </w:rPr>
        <w:t>Е. М. Акопян</w:t>
      </w:r>
      <w:r w:rsidRPr="001045DE">
        <w:rPr>
          <w:b/>
          <w:color w:val="000000"/>
          <w:sz w:val="28"/>
          <w:szCs w:val="28"/>
        </w:rPr>
        <w:tab/>
      </w:r>
      <w:r w:rsidRPr="001045DE">
        <w:rPr>
          <w:color w:val="000000"/>
          <w:sz w:val="28"/>
          <w:szCs w:val="28"/>
        </w:rPr>
        <w:t>З. М. Исмоилзода</w:t>
      </w:r>
    </w:p>
    <w:p w:rsidR="001045DE" w:rsidRPr="001045DE" w:rsidRDefault="001045DE" w:rsidP="001045DE">
      <w:pPr>
        <w:tabs>
          <w:tab w:val="left" w:pos="4783"/>
        </w:tabs>
        <w:spacing w:after="120"/>
        <w:rPr>
          <w:b/>
          <w:color w:val="000000"/>
          <w:sz w:val="28"/>
          <w:szCs w:val="28"/>
        </w:rPr>
      </w:pPr>
      <w:r w:rsidRPr="001045DE">
        <w:rPr>
          <w:color w:val="000000"/>
          <w:sz w:val="28"/>
          <w:szCs w:val="28"/>
        </w:rPr>
        <w:t>К. А. Саруханян</w:t>
      </w:r>
      <w:r w:rsidRPr="001045DE">
        <w:rPr>
          <w:b/>
          <w:color w:val="000000"/>
          <w:sz w:val="28"/>
          <w:szCs w:val="28"/>
        </w:rPr>
        <w:tab/>
      </w:r>
      <w:r w:rsidRPr="001045DE">
        <w:rPr>
          <w:color w:val="000000"/>
          <w:sz w:val="28"/>
          <w:szCs w:val="28"/>
        </w:rPr>
        <w:t>Д. А. Кобицкий</w:t>
      </w:r>
    </w:p>
    <w:p w:rsidR="001045DE" w:rsidRPr="001045DE" w:rsidRDefault="001045DE" w:rsidP="001045DE">
      <w:pPr>
        <w:tabs>
          <w:tab w:val="left" w:pos="4783"/>
        </w:tabs>
        <w:spacing w:after="120"/>
        <w:rPr>
          <w:color w:val="000000"/>
          <w:sz w:val="28"/>
          <w:szCs w:val="28"/>
        </w:rPr>
      </w:pPr>
      <w:r w:rsidRPr="001045DE">
        <w:rPr>
          <w:color w:val="000000"/>
          <w:sz w:val="28"/>
          <w:szCs w:val="28"/>
        </w:rPr>
        <w:t>В. Г. Когут</w:t>
      </w:r>
      <w:r w:rsidRPr="001045DE">
        <w:rPr>
          <w:color w:val="000000"/>
          <w:sz w:val="28"/>
          <w:szCs w:val="28"/>
        </w:rPr>
        <w:tab/>
        <w:t>А. М. Чилингарян</w:t>
      </w:r>
    </w:p>
    <w:p w:rsidR="001045DE" w:rsidRPr="001045DE" w:rsidRDefault="001045DE" w:rsidP="001045DE">
      <w:pPr>
        <w:tabs>
          <w:tab w:val="left" w:pos="4783"/>
        </w:tabs>
        <w:spacing w:after="120"/>
        <w:rPr>
          <w:color w:val="000000"/>
          <w:sz w:val="28"/>
          <w:szCs w:val="28"/>
        </w:rPr>
      </w:pPr>
      <w:r w:rsidRPr="001045DE">
        <w:rPr>
          <w:color w:val="000000"/>
          <w:sz w:val="28"/>
          <w:szCs w:val="28"/>
        </w:rPr>
        <w:t>Е. Р. Мукаев</w:t>
      </w:r>
      <w:r w:rsidRPr="001045DE">
        <w:rPr>
          <w:color w:val="000000"/>
          <w:sz w:val="28"/>
          <w:szCs w:val="28"/>
        </w:rPr>
        <w:tab/>
        <w:t>Н. А. Сатвалдиев</w:t>
      </w:r>
    </w:p>
    <w:p w:rsidR="001045DE" w:rsidRPr="001045DE" w:rsidRDefault="001045DE" w:rsidP="001045DE">
      <w:pPr>
        <w:tabs>
          <w:tab w:val="left" w:pos="4783"/>
        </w:tabs>
        <w:spacing w:after="120"/>
        <w:rPr>
          <w:color w:val="000000"/>
          <w:sz w:val="28"/>
          <w:szCs w:val="28"/>
        </w:rPr>
      </w:pPr>
      <w:r w:rsidRPr="001045DE">
        <w:rPr>
          <w:color w:val="000000"/>
          <w:sz w:val="28"/>
          <w:szCs w:val="28"/>
        </w:rPr>
        <w:t>Г. И. Исимбаева</w:t>
      </w:r>
      <w:r w:rsidRPr="001045DE">
        <w:rPr>
          <w:color w:val="000000"/>
          <w:sz w:val="28"/>
          <w:szCs w:val="28"/>
        </w:rPr>
        <w:tab/>
        <w:t>И. Х. Рахимов</w:t>
      </w:r>
    </w:p>
    <w:p w:rsidR="001045DE" w:rsidRPr="001045DE" w:rsidRDefault="001045DE" w:rsidP="001045DE">
      <w:pPr>
        <w:tabs>
          <w:tab w:val="left" w:pos="4783"/>
        </w:tabs>
        <w:spacing w:after="120"/>
        <w:rPr>
          <w:color w:val="000000"/>
          <w:sz w:val="28"/>
          <w:szCs w:val="28"/>
        </w:rPr>
      </w:pPr>
      <w:r w:rsidRPr="001045DE">
        <w:rPr>
          <w:color w:val="000000"/>
          <w:sz w:val="28"/>
          <w:szCs w:val="28"/>
        </w:rPr>
        <w:t>О. А. Алыбаев</w:t>
      </w:r>
      <w:r w:rsidRPr="001045DE">
        <w:rPr>
          <w:color w:val="000000"/>
          <w:sz w:val="28"/>
          <w:szCs w:val="28"/>
        </w:rPr>
        <w:tab/>
        <w:t>Е. В. Голоулина</w:t>
      </w:r>
    </w:p>
    <w:p w:rsidR="001045DE" w:rsidRPr="001045DE" w:rsidRDefault="001045DE" w:rsidP="001045DE">
      <w:pPr>
        <w:tabs>
          <w:tab w:val="left" w:pos="4783"/>
        </w:tabs>
        <w:spacing w:after="120"/>
        <w:rPr>
          <w:color w:val="000000"/>
          <w:sz w:val="28"/>
          <w:szCs w:val="28"/>
        </w:rPr>
      </w:pPr>
      <w:r w:rsidRPr="001045DE">
        <w:rPr>
          <w:color w:val="000000"/>
          <w:sz w:val="28"/>
          <w:szCs w:val="28"/>
        </w:rPr>
        <w:lastRenderedPageBreak/>
        <w:t>С. М. Джураев</w:t>
      </w:r>
      <w:r w:rsidRPr="001045DE">
        <w:rPr>
          <w:color w:val="000000"/>
          <w:sz w:val="28"/>
          <w:szCs w:val="28"/>
        </w:rPr>
        <w:tab/>
      </w:r>
    </w:p>
    <w:p w:rsidR="001045DE" w:rsidRPr="001045DE" w:rsidRDefault="001045DE" w:rsidP="001045DE">
      <w:pPr>
        <w:spacing w:after="120"/>
        <w:ind w:firstLine="357"/>
        <w:jc w:val="both"/>
        <w:rPr>
          <w:b/>
          <w:sz w:val="28"/>
          <w:szCs w:val="28"/>
        </w:rPr>
      </w:pPr>
    </w:p>
    <w:p w:rsidR="001045DE" w:rsidRPr="001045DE" w:rsidRDefault="001045DE" w:rsidP="001045DE">
      <w:pPr>
        <w:spacing w:after="120"/>
        <w:jc w:val="both"/>
        <w:rPr>
          <w:sz w:val="28"/>
          <w:szCs w:val="28"/>
        </w:rPr>
      </w:pPr>
      <w:r w:rsidRPr="001045DE">
        <w:rPr>
          <w:sz w:val="28"/>
          <w:szCs w:val="28"/>
        </w:rPr>
        <w:t>Ташкент, 22 декабря 2019 года</w:t>
      </w:r>
    </w:p>
    <w:p w:rsidR="00BB6BD3" w:rsidRPr="001045DE" w:rsidRDefault="00422F72">
      <w:pPr>
        <w:rPr>
          <w:sz w:val="28"/>
          <w:szCs w:val="28"/>
        </w:rPr>
      </w:pPr>
    </w:p>
    <w:sectPr w:rsidR="00BB6BD3" w:rsidRPr="001045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E9E"/>
    <w:rsid w:val="001045DE"/>
    <w:rsid w:val="003D3586"/>
    <w:rsid w:val="00422F72"/>
    <w:rsid w:val="006E0C27"/>
    <w:rsid w:val="00E95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45D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45D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6318</Words>
  <Characters>36013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Краснов Иван Андреевич</dc:creator>
  <cp:lastModifiedBy>Пашнов Павел Леонидович</cp:lastModifiedBy>
  <cp:revision>2</cp:revision>
  <dcterms:created xsi:type="dcterms:W3CDTF">2021-05-19T12:17:00Z</dcterms:created>
  <dcterms:modified xsi:type="dcterms:W3CDTF">2021-05-19T12:17:00Z</dcterms:modified>
</cp:coreProperties>
</file>