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C0" w:rsidRDefault="00B360C0" w:rsidP="00B360C0">
      <w:pPr>
        <w:ind w:firstLine="357"/>
        <w:jc w:val="center"/>
        <w:rPr>
          <w:sz w:val="22"/>
          <w:szCs w:val="22"/>
        </w:rPr>
      </w:pPr>
      <w:r>
        <w:rPr>
          <w:b/>
          <w:sz w:val="28"/>
          <w:szCs w:val="28"/>
        </w:rPr>
        <w:t>ЗАКЛЮЧЕНИЕ</w:t>
      </w:r>
    </w:p>
    <w:p w:rsidR="00B360C0" w:rsidRDefault="00B360C0" w:rsidP="00B360C0">
      <w:pPr>
        <w:ind w:firstLine="357"/>
        <w:jc w:val="center"/>
        <w:rPr>
          <w:sz w:val="22"/>
          <w:szCs w:val="22"/>
        </w:rPr>
      </w:pPr>
      <w:r>
        <w:rPr>
          <w:b/>
          <w:sz w:val="28"/>
          <w:szCs w:val="28"/>
        </w:rPr>
        <w:t>группы наблюдателей от Межпарламентской Ассамблеи</w:t>
      </w:r>
    </w:p>
    <w:p w:rsidR="00B360C0" w:rsidRDefault="00B360C0" w:rsidP="00B360C0">
      <w:pPr>
        <w:ind w:firstLine="357"/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государств — участников Содружества Независимых Государств </w:t>
      </w:r>
    </w:p>
    <w:p w:rsidR="00B360C0" w:rsidRDefault="00B360C0" w:rsidP="00B360C0">
      <w:pPr>
        <w:ind w:firstLine="357"/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на втором туре голосования на выборах </w:t>
      </w:r>
    </w:p>
    <w:p w:rsidR="00B360C0" w:rsidRDefault="00B360C0" w:rsidP="00B360C0">
      <w:pPr>
        <w:ind w:firstLine="357"/>
        <w:jc w:val="center"/>
        <w:rPr>
          <w:sz w:val="22"/>
          <w:szCs w:val="22"/>
        </w:rPr>
      </w:pPr>
      <w:r>
        <w:rPr>
          <w:b/>
          <w:sz w:val="28"/>
          <w:szCs w:val="28"/>
        </w:rPr>
        <w:t>Президента Республики Молдова</w:t>
      </w:r>
      <w:r>
        <w:rPr>
          <w:b/>
          <w:sz w:val="28"/>
          <w:szCs w:val="28"/>
        </w:rPr>
        <w:br/>
        <w:t>15 ноября 2020 года</w:t>
      </w:r>
    </w:p>
    <w:p w:rsidR="00B360C0" w:rsidRPr="005908C2" w:rsidRDefault="00B360C0" w:rsidP="00B360C0">
      <w:pPr>
        <w:ind w:firstLine="357"/>
        <w:jc w:val="center"/>
        <w:rPr>
          <w:b/>
          <w:sz w:val="16"/>
          <w:szCs w:val="16"/>
        </w:rPr>
      </w:pP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проведенном 1 ноября 2020 года голосовании на выборах Президента Республики Молдова приняли участие восемь кандидатов. Было создано </w:t>
      </w:r>
      <w:r w:rsidRPr="00B360C0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2143 участковых избирательных бюро (139 — в иностранных государствах). Явка избирателей в день голосования составила 1 368 516 — 48,54%.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Решением Центральной избирательной комиссии Республики Молдова (далее — ЦИК) от 4 ноября 2020 года № 4465 выборы признаны состоявшимися. В связи с тем, что ни один из участвовавших кандидатов не набрал не менее половины голосов избирателей, принявших участие в выборах, решением ЦИК от 4 ноября 2020 года № 4466 на 15 ноября 2020 года был назначен второй тур голосования на выборах Президента Республики Молдова.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В избирательный бюллетень второго тура голосования были включены два кандидата, набравшие наибольшее число голосов, — выдвинутая партией «Действие и солидарность» (</w:t>
      </w:r>
      <w:r>
        <w:rPr>
          <w:sz w:val="28"/>
          <w:szCs w:val="28"/>
          <w:lang w:val="en-US"/>
        </w:rPr>
        <w:t>PAS</w:t>
      </w:r>
      <w:r>
        <w:rPr>
          <w:sz w:val="28"/>
          <w:szCs w:val="28"/>
        </w:rPr>
        <w:t>) М. </w:t>
      </w:r>
      <w:proofErr w:type="spellStart"/>
      <w:r>
        <w:rPr>
          <w:sz w:val="28"/>
          <w:szCs w:val="28"/>
        </w:rPr>
        <w:t>Санду</w:t>
      </w:r>
      <w:proofErr w:type="spellEnd"/>
      <w:r>
        <w:rPr>
          <w:sz w:val="28"/>
          <w:szCs w:val="28"/>
        </w:rPr>
        <w:t xml:space="preserve"> (487 635 голосов — 36,16%) и независимый кандидат И. </w:t>
      </w:r>
      <w:proofErr w:type="spellStart"/>
      <w:r>
        <w:rPr>
          <w:sz w:val="28"/>
          <w:szCs w:val="28"/>
        </w:rPr>
        <w:t>Додон</w:t>
      </w:r>
      <w:proofErr w:type="spellEnd"/>
      <w:r>
        <w:rPr>
          <w:sz w:val="28"/>
          <w:szCs w:val="28"/>
        </w:rPr>
        <w:t xml:space="preserve"> (439 866 голосов — 32,61%).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Нормативно-правовую основу второго тура голосования составили законодательство Республики Молдова, международные стандарты, нормы и принципы демократических выборов, закрепляющие свободу и подлинность, всеобщность и равенство, открытость и гласность избирательного процесса.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proofErr w:type="gramStart"/>
      <w:r>
        <w:rPr>
          <w:sz w:val="28"/>
          <w:szCs w:val="28"/>
        </w:rPr>
        <w:t xml:space="preserve">В целях обеспечения единообразного </w:t>
      </w:r>
      <w:proofErr w:type="spellStart"/>
      <w:r>
        <w:rPr>
          <w:sz w:val="28"/>
          <w:szCs w:val="28"/>
        </w:rPr>
        <w:t>правоприменения</w:t>
      </w:r>
      <w:proofErr w:type="spellEnd"/>
      <w:r>
        <w:rPr>
          <w:sz w:val="28"/>
          <w:szCs w:val="28"/>
        </w:rPr>
        <w:t xml:space="preserve"> ЦИК  постановлением от 4 ноября 2020 года № 4467 распространила на второй тур голосования действие ранее принятых нормативных правовых актов, регламентирующих беспрепятственное проведение выборов (решение </w:t>
      </w:r>
      <w:r w:rsidRPr="00C9019B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№ 4124/2020); освещение избирательной кампании в СМИ (решение </w:t>
      </w:r>
      <w:r w:rsidRPr="00C9019B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№ 4151/2020); особенности голосования отдельных категорий избирателей (решение № 4374/2020); порядок передачи избирательных бюллетеней (решение № 4376/2020);</w:t>
      </w:r>
      <w:proofErr w:type="gramEnd"/>
      <w:r>
        <w:rPr>
          <w:sz w:val="28"/>
          <w:szCs w:val="28"/>
        </w:rPr>
        <w:t xml:space="preserve"> вопросы, связанные с воспрепятствованием организованной доставке граждан к участкам для голосования (решение </w:t>
      </w:r>
      <w:r w:rsidRPr="00C9019B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№ 4390/2020).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 учетом тенденции развития пандемии </w:t>
      </w:r>
      <w:proofErr w:type="spellStart"/>
      <w:r>
        <w:rPr>
          <w:sz w:val="28"/>
          <w:szCs w:val="28"/>
        </w:rPr>
        <w:t>коронавируса</w:t>
      </w:r>
      <w:proofErr w:type="spellEnd"/>
      <w:r>
        <w:rPr>
          <w:sz w:val="28"/>
          <w:szCs w:val="28"/>
        </w:rPr>
        <w:t xml:space="preserve"> и сохраняющейся неблагоприятной эпидемиологической ситуации постановлением ЦИК от </w:t>
      </w:r>
      <w:r w:rsidRPr="00C9019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4 ноября 2020 года № 4468 «Об обеспечении мер защиты в процессе голосования во втором туре президентских выборов 15 ноября 2020 года» были предусмотрены  дополнительные меры, направленные на минимизацию угроз здоровью граждан. Избирателям с симптомами 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 была предоставлена возможность проголосовать по месту проживания без необходимости предъявления медицинской справки. Были приняты меры по обеспечению </w:t>
      </w:r>
      <w:r>
        <w:rPr>
          <w:sz w:val="28"/>
          <w:szCs w:val="28"/>
        </w:rPr>
        <w:lastRenderedPageBreak/>
        <w:t>избирателей на участках для голосования защитными масками в достаточном количестве.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связи с назначением второго тура голосования группа международных наблюдателей от МПА СНГ продолжила свою деятельность.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Распоряжением Председателя Совета МПА СНГ В. И. Матвиенко от </w:t>
      </w:r>
      <w:r w:rsidRPr="00C9019B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>13 ноября 2020 года № 10-рп координатором группы наблюдателей, участвующих в мониторинге второго тура голосования, был назначен депутат Милли Меджлиса Азербайджанской Республики, член Комитета по экономической политике, промышленности и предпринимательству Р. А. Гулиев.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Работа группы международных наблюдателей основывалась на принципах уважения государственного суверенитета, профессионализма, объективности, беспристрастности, законности. Наблюдатели в своей деятельности руководствовались документами, регламентирующими порядок мониторинга в сфере подготовки и проведения выборов в государствах — участниках СНГ, а также актами международного права и нормами национального законодательства Республики Молдова.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bCs/>
          <w:sz w:val="28"/>
          <w:szCs w:val="28"/>
        </w:rPr>
        <w:t xml:space="preserve">В ходе мониторинга за подготовкой второго тура голосования наблюдатели отмечали в целом эффективное </w:t>
      </w:r>
      <w:r>
        <w:rPr>
          <w:sz w:val="28"/>
          <w:szCs w:val="28"/>
        </w:rPr>
        <w:t xml:space="preserve">администрирование выборов, стремление к достижению конструктивного диалога участников избирательного процесса.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Агитационная кампания кандидатов проводилась активно, носила конкурентный, состязательный, в некоторых случаях резкий характер, особенно в СМИ, электронных ресурсах и социальных сетях.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Кандидатами на пост Президента и их представителями высказывались претензии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ЦИК</w:t>
      </w:r>
      <w:proofErr w:type="gramEnd"/>
      <w:r>
        <w:rPr>
          <w:sz w:val="28"/>
          <w:szCs w:val="28"/>
        </w:rPr>
        <w:t>, правоохранительным и судебным органам, связанные с проведением справедливых выборов, в частности созданием равных возможностей осуществления предвыборной агитации и соблюдением прозрачности финансирования избирательных кампаний. Также кандидаты и их представители отмечали, что государственные органы не проявили необходимой оперативности в расследовании поданных заявлений.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Республике Молдова внедряются инновационные избирательные технологии. Разработана и применяется интегрированная система учета — Государственный регистр избирателей. Внедрена Государственная автоматизированная информационная система «Выборы» (далее — ГАИС), предусматривающая идентификацию граждан по персональному коду для  предотвращения возможности неоднократного голосования.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Однако законодательно не определены вопросы статуса и полномочий операторов ГАИС, осуществляющих проверку избирателей на участках. Также не урегулирована процедура отказа в допуске к голосованию граждан в случае выявления оператором признака повторного голосования по данным системы онлайн-проверки.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В целях создания условий для реализации избирательных прав граждан Республики Молдова, проживающих на левом берегу Днестра, решением ЦИК были созданы отдельные избирательные участки.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В ходе </w:t>
      </w:r>
      <w:proofErr w:type="gramStart"/>
      <w:r>
        <w:rPr>
          <w:sz w:val="28"/>
          <w:szCs w:val="28"/>
        </w:rPr>
        <w:t>проведения</w:t>
      </w:r>
      <w:proofErr w:type="gramEnd"/>
      <w:r>
        <w:rPr>
          <w:sz w:val="28"/>
          <w:szCs w:val="28"/>
        </w:rPr>
        <w:t xml:space="preserve"> как первого, так и второго тура голосования кандидатами и наблюдателями отмечались факты незаконного ограничения доступа граждан на эти участки. Такие действия объяснялись организацией «подвоза» избирателей.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Наряду с гражданами, постоянно проживающими на территории Республики Молдова, законодательством предусмотрено участие в выборах лиц, обладающих активным избирательным правом и находящихся за пределами страны. В первом туре голосования на зарубежных избирательных участках проголосовали 149 178 человек — 11,06% от общего числа избирателей.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Продолжает оставаться нерешенной проблема определения числа и места расположения участков для голосования в иностранных государствах, а также распространения на них действия предусмотренных национальным законодательством мер по предотвращению и пресечению нарушений избирательных прав граждан. 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ходе краткосрочного мониторинга подготовки второго тура голосования на выборах Президента Республики Молдова 14 ноября 2020 года международные наблюдатели провели встречи с кандидатом на пост Президента М. </w:t>
      </w:r>
      <w:proofErr w:type="spellStart"/>
      <w:r>
        <w:rPr>
          <w:sz w:val="28"/>
          <w:szCs w:val="28"/>
        </w:rPr>
        <w:t>Санду</w:t>
      </w:r>
      <w:proofErr w:type="spellEnd"/>
      <w:r>
        <w:rPr>
          <w:sz w:val="28"/>
          <w:szCs w:val="28"/>
        </w:rPr>
        <w:t xml:space="preserve"> и руководителем штаба кандидата на пост Президента И. </w:t>
      </w:r>
      <w:proofErr w:type="spellStart"/>
      <w:r>
        <w:rPr>
          <w:sz w:val="28"/>
          <w:szCs w:val="28"/>
        </w:rPr>
        <w:t>Додона</w:t>
      </w:r>
      <w:proofErr w:type="spellEnd"/>
      <w:r>
        <w:rPr>
          <w:sz w:val="28"/>
          <w:szCs w:val="28"/>
        </w:rPr>
        <w:t xml:space="preserve"> В. </w:t>
      </w:r>
      <w:proofErr w:type="spellStart"/>
      <w:r>
        <w:rPr>
          <w:sz w:val="28"/>
          <w:szCs w:val="28"/>
        </w:rPr>
        <w:t>Батрынчей</w:t>
      </w:r>
      <w:proofErr w:type="spellEnd"/>
      <w:r>
        <w:rPr>
          <w:sz w:val="28"/>
          <w:szCs w:val="28"/>
        </w:rPr>
        <w:t xml:space="preserve">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В процессе общения участники избирательной кампании проинформировали наблюдателей о планах организации работы штабов кандидатов при проведении голосования, подведении и признании итогов выборов. Сторонами были высказаны взаимные претензии, касающиеся допускаемых нарушений, отмечалась невозможность достижения консолидации после завершения избирательной кампании.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этот же день состоялась встреча координатора группы наблюдателей от МПА СНГ Р. А. Гулиева с главой ограниченной миссии по наблюдению за выборами БДИПЧ ОБСЕ К. </w:t>
      </w:r>
      <w:proofErr w:type="spellStart"/>
      <w:r>
        <w:rPr>
          <w:sz w:val="28"/>
          <w:szCs w:val="28"/>
        </w:rPr>
        <w:t>Йонкер</w:t>
      </w:r>
      <w:proofErr w:type="spellEnd"/>
      <w:r>
        <w:rPr>
          <w:sz w:val="28"/>
          <w:szCs w:val="28"/>
        </w:rPr>
        <w:t>. В своем выступлении Р. А. Гулиев рассказал о порядке деятельности международных наблюдателей от МПА СНГ, применяемых методиках осуществления мониторинга и полученных результатах. Стороны согласились с тем, что оценки результатов мониторинга голосования в первом туре, высказанные группой наблюдателей от МПА СНГ и ограниченной миссией БДИПЧ ОБСЕ, практически совпадают. По состоянию на 14 ноября 2020 года избирательный процесс в Республике Молдова осуществляется в рамках национального законодательства.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день второго тура голосования, 15 ноября 2020 года, наблюдатели от МПА СНГ посетили 78 избирательных участков в городах Кишинев, </w:t>
      </w:r>
      <w:proofErr w:type="spellStart"/>
      <w:r>
        <w:rPr>
          <w:sz w:val="28"/>
          <w:szCs w:val="28"/>
        </w:rPr>
        <w:t>Хынчешты</w:t>
      </w:r>
      <w:proofErr w:type="spellEnd"/>
      <w:r>
        <w:rPr>
          <w:sz w:val="28"/>
          <w:szCs w:val="28"/>
        </w:rPr>
        <w:t xml:space="preserve">, Чимишлия, </w:t>
      </w:r>
      <w:proofErr w:type="spellStart"/>
      <w:r>
        <w:rPr>
          <w:sz w:val="28"/>
          <w:szCs w:val="28"/>
        </w:rPr>
        <w:t>Яловены</w:t>
      </w:r>
      <w:proofErr w:type="spellEnd"/>
      <w:r>
        <w:rPr>
          <w:sz w:val="28"/>
          <w:szCs w:val="28"/>
        </w:rPr>
        <w:t>. Также осуществлялся мониторинг выборов на восьми зарубежных избирательных участках, организованных в Азербайджанской Республике (Баку), Республике Беларусь (Минск), Российской Федерации (Москва, Санкт-Петербург). Международные наблюдатели присутствовали на всех этапах выборов: от открытия участков до подведения участковыми избирательными бюро итогов голосования.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На большинстве посещенных наблюдателями участков в день второго тура голосования избирательный процесс был организован на достаточно высоком уровне. По сравнению с первым туром голосования отмечена активная явка избирателей. На участках присутствовали национальные наблюдатели, представлявшие кандидатов на пост Президента и общественные организации. В ходе голосования в основном выполнялись установленные санитарно-эпидемиологические требования: при входе в помещения для голосования у избирателей измерялась температура, обеспечивалось соблюдение социальной дистанции и ношение масок.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Вместе с тем имели место некоторые недостатки, связанные с технической неприспособленностью помещений избирательных участков для проведения голосования в условиях высокой явки избирателей. Наблюдатели отмечали, что в ряде посещенных участков отсутствовали либо не были обеспечены в достаточной степени условия для реализации избирательных прав гражданами с ограниченными физическими возможностями (например, пандусы).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sz w:val="28"/>
          <w:szCs w:val="28"/>
        </w:rPr>
        <w:t>Отмеченные недостатки носили преимущественно технический характер и не оказали существенного влияния на организацию процесса голосования.</w:t>
      </w:r>
    </w:p>
    <w:p w:rsidR="00B360C0" w:rsidRDefault="00B360C0" w:rsidP="00B360C0">
      <w:pPr>
        <w:ind w:firstLine="708"/>
        <w:jc w:val="both"/>
        <w:rPr>
          <w:sz w:val="28"/>
          <w:szCs w:val="28"/>
        </w:rPr>
      </w:pP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b/>
          <w:sz w:val="28"/>
          <w:szCs w:val="28"/>
        </w:rPr>
        <w:t xml:space="preserve">По итогам мониторинга группа международных наблюдателей от МПА СНГ пришла к выводу, что в ходе подготовки и проведения второго тура голосования на выборах Президента Республики Молдова деятельность ЦИК </w:t>
      </w:r>
      <w:proofErr w:type="gramStart"/>
      <w:r>
        <w:rPr>
          <w:b/>
          <w:sz w:val="28"/>
          <w:szCs w:val="28"/>
        </w:rPr>
        <w:t>осуществлялась</w:t>
      </w:r>
      <w:proofErr w:type="gramEnd"/>
      <w:r>
        <w:rPr>
          <w:b/>
          <w:sz w:val="28"/>
          <w:szCs w:val="28"/>
        </w:rPr>
        <w:t xml:space="preserve"> открыто и прозрачно, с соблюдением требований национального законодательства и установленных Календарным планом сроков.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b/>
          <w:sz w:val="28"/>
          <w:szCs w:val="28"/>
        </w:rPr>
        <w:t xml:space="preserve">Выборы проходили в условиях </w:t>
      </w:r>
      <w:proofErr w:type="spellStart"/>
      <w:r>
        <w:rPr>
          <w:b/>
          <w:sz w:val="28"/>
          <w:szCs w:val="28"/>
        </w:rPr>
        <w:t>конкурентности</w:t>
      </w:r>
      <w:proofErr w:type="spellEnd"/>
      <w:r>
        <w:rPr>
          <w:b/>
          <w:sz w:val="28"/>
          <w:szCs w:val="28"/>
        </w:rPr>
        <w:t xml:space="preserve">, состязательности и </w:t>
      </w:r>
      <w:proofErr w:type="spellStart"/>
      <w:r>
        <w:rPr>
          <w:b/>
          <w:sz w:val="28"/>
          <w:szCs w:val="28"/>
        </w:rPr>
        <w:t>транспарентности</w:t>
      </w:r>
      <w:proofErr w:type="spellEnd"/>
      <w:r>
        <w:rPr>
          <w:b/>
          <w:sz w:val="28"/>
          <w:szCs w:val="28"/>
        </w:rPr>
        <w:t>, избирателям была предоставлена возможность ознакомиться с программами кандидатов и сделать свободный осознанный выбор.</w:t>
      </w:r>
    </w:p>
    <w:p w:rsidR="00B360C0" w:rsidRPr="00B360C0" w:rsidRDefault="00B360C0" w:rsidP="00B360C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Международным наблюдателям были обеспечены необходимые условия для осуществления комплексного многостороннего мониторинга избирательного процесса. </w:t>
      </w:r>
    </w:p>
    <w:p w:rsidR="00B360C0" w:rsidRDefault="00B360C0" w:rsidP="00B360C0">
      <w:pPr>
        <w:ind w:firstLine="708"/>
        <w:jc w:val="both"/>
        <w:rPr>
          <w:sz w:val="22"/>
          <w:szCs w:val="22"/>
        </w:rPr>
      </w:pPr>
      <w:r>
        <w:rPr>
          <w:b/>
          <w:sz w:val="28"/>
          <w:szCs w:val="28"/>
        </w:rPr>
        <w:t xml:space="preserve">В целом по итогам наблюдения второй тур голосования на выборах Президента Республики Молдова прошел в соответствии с национальным законодательством и международными обязательствами Республики Молдова в области проведения свободных демократических выборов. </w:t>
      </w:r>
    </w:p>
    <w:p w:rsidR="00B360C0" w:rsidRDefault="00B360C0" w:rsidP="00B360C0">
      <w:pPr>
        <w:ind w:firstLine="708"/>
        <w:jc w:val="both"/>
        <w:rPr>
          <w:b/>
          <w:sz w:val="28"/>
          <w:szCs w:val="28"/>
        </w:rPr>
      </w:pPr>
    </w:p>
    <w:p w:rsidR="00B360C0" w:rsidRPr="00863879" w:rsidRDefault="00B360C0" w:rsidP="00B360C0">
      <w:pPr>
        <w:shd w:val="clear" w:color="auto" w:fill="FFFFFF"/>
        <w:tabs>
          <w:tab w:val="left" w:pos="4555"/>
        </w:tabs>
        <w:ind w:left="108" w:firstLine="357"/>
        <w:rPr>
          <w:rFonts w:eastAsia="SimSun"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Р. А. Гулиев</w:t>
      </w:r>
      <w:r w:rsidRPr="00863879">
        <w:rPr>
          <w:bCs/>
          <w:color w:val="000000"/>
          <w:sz w:val="28"/>
          <w:szCs w:val="28"/>
        </w:rPr>
        <w:tab/>
      </w:r>
      <w:r w:rsidRPr="00863879">
        <w:rPr>
          <w:rFonts w:eastAsia="SimSun"/>
          <w:color w:val="000000"/>
          <w:sz w:val="28"/>
          <w:szCs w:val="28"/>
        </w:rPr>
        <w:t>Н. А. Сатвалдиев</w:t>
      </w:r>
    </w:p>
    <w:p w:rsidR="00B360C0" w:rsidRPr="00863879" w:rsidRDefault="00B360C0" w:rsidP="00B360C0">
      <w:pPr>
        <w:shd w:val="clear" w:color="auto" w:fill="FFFFFF"/>
        <w:tabs>
          <w:tab w:val="left" w:pos="4555"/>
        </w:tabs>
        <w:ind w:left="108" w:firstLine="357"/>
        <w:rPr>
          <w:bCs/>
          <w:color w:val="000000"/>
          <w:sz w:val="28"/>
          <w:szCs w:val="28"/>
        </w:rPr>
      </w:pPr>
      <w:r w:rsidRPr="00863879">
        <w:rPr>
          <w:rFonts w:eastAsia="SimSun"/>
          <w:color w:val="000000"/>
          <w:sz w:val="28"/>
          <w:szCs w:val="28"/>
        </w:rPr>
        <w:t>С. К. Гаджиев</w:t>
      </w:r>
      <w:r w:rsidRPr="00863879">
        <w:rPr>
          <w:rFonts w:eastAsia="SimSun"/>
          <w:color w:val="000000"/>
          <w:sz w:val="28"/>
          <w:szCs w:val="28"/>
        </w:rPr>
        <w:tab/>
      </w:r>
      <w:r w:rsidRPr="00863879">
        <w:rPr>
          <w:bCs/>
          <w:color w:val="000000"/>
          <w:sz w:val="28"/>
          <w:szCs w:val="28"/>
        </w:rPr>
        <w:t xml:space="preserve">О. В. </w:t>
      </w:r>
      <w:proofErr w:type="spellStart"/>
      <w:r w:rsidRPr="00863879">
        <w:rPr>
          <w:bCs/>
          <w:color w:val="000000"/>
          <w:sz w:val="28"/>
          <w:szCs w:val="28"/>
        </w:rPr>
        <w:t>Цепкин</w:t>
      </w:r>
      <w:proofErr w:type="spellEnd"/>
    </w:p>
    <w:p w:rsidR="00B360C0" w:rsidRPr="00863879" w:rsidRDefault="00B360C0" w:rsidP="00B360C0">
      <w:pPr>
        <w:tabs>
          <w:tab w:val="left" w:pos="4555"/>
        </w:tabs>
        <w:ind w:left="108" w:firstLine="357"/>
        <w:rPr>
          <w:color w:val="000000"/>
          <w:sz w:val="28"/>
          <w:szCs w:val="28"/>
        </w:rPr>
      </w:pPr>
      <w:r w:rsidRPr="00863879">
        <w:rPr>
          <w:rFonts w:eastAsia="SimSun"/>
          <w:color w:val="000000"/>
          <w:sz w:val="28"/>
          <w:szCs w:val="28"/>
        </w:rPr>
        <w:t>А. М. Джафаров</w:t>
      </w:r>
      <w:r w:rsidRPr="00863879">
        <w:rPr>
          <w:rFonts w:eastAsia="SimSun"/>
          <w:color w:val="000000"/>
          <w:sz w:val="28"/>
          <w:szCs w:val="28"/>
        </w:rPr>
        <w:tab/>
      </w:r>
      <w:r w:rsidRPr="00863879">
        <w:rPr>
          <w:color w:val="000000"/>
          <w:sz w:val="28"/>
          <w:szCs w:val="28"/>
        </w:rPr>
        <w:t xml:space="preserve">К. К. </w:t>
      </w:r>
      <w:proofErr w:type="spellStart"/>
      <w:r w:rsidRPr="00863879">
        <w:rPr>
          <w:color w:val="000000"/>
          <w:sz w:val="28"/>
          <w:szCs w:val="28"/>
        </w:rPr>
        <w:t>Тайсаев</w:t>
      </w:r>
      <w:proofErr w:type="spellEnd"/>
    </w:p>
    <w:p w:rsidR="00B360C0" w:rsidRPr="00863879" w:rsidRDefault="00B360C0" w:rsidP="00B360C0">
      <w:pPr>
        <w:tabs>
          <w:tab w:val="left" w:pos="4555"/>
        </w:tabs>
        <w:ind w:left="108" w:firstLine="357"/>
        <w:rPr>
          <w:color w:val="000000"/>
          <w:sz w:val="22"/>
          <w:szCs w:val="22"/>
        </w:rPr>
      </w:pPr>
      <w:r w:rsidRPr="00863879">
        <w:rPr>
          <w:bCs/>
          <w:color w:val="000000"/>
          <w:sz w:val="28"/>
          <w:szCs w:val="28"/>
        </w:rPr>
        <w:t>В. Г. Когут</w:t>
      </w:r>
      <w:r w:rsidRPr="00863879">
        <w:rPr>
          <w:bCs/>
          <w:color w:val="000000"/>
          <w:sz w:val="28"/>
          <w:szCs w:val="28"/>
        </w:rPr>
        <w:tab/>
        <w:t>И. И. Мушкет</w:t>
      </w:r>
    </w:p>
    <w:p w:rsidR="00B360C0" w:rsidRPr="00863879" w:rsidRDefault="00B360C0" w:rsidP="00B360C0">
      <w:pPr>
        <w:snapToGrid w:val="0"/>
        <w:ind w:firstLine="357"/>
        <w:jc w:val="both"/>
        <w:rPr>
          <w:bCs/>
          <w:color w:val="000000"/>
          <w:sz w:val="28"/>
          <w:szCs w:val="28"/>
        </w:rPr>
      </w:pPr>
    </w:p>
    <w:p w:rsidR="00BB6BD3" w:rsidRDefault="00B360C0" w:rsidP="00B360C0">
      <w:pPr>
        <w:tabs>
          <w:tab w:val="left" w:pos="4555"/>
        </w:tabs>
        <w:snapToGrid w:val="0"/>
        <w:ind w:left="108" w:firstLine="357"/>
      </w:pPr>
      <w:r w:rsidRPr="00863879">
        <w:rPr>
          <w:bCs/>
          <w:color w:val="000000"/>
          <w:sz w:val="28"/>
          <w:szCs w:val="28"/>
        </w:rPr>
        <w:t>Кишинев, 15 ноября 2020 года</w:t>
      </w:r>
      <w:r w:rsidRPr="00863879">
        <w:rPr>
          <w:color w:val="000000"/>
          <w:sz w:val="22"/>
          <w:szCs w:val="22"/>
        </w:rPr>
        <w:tab/>
      </w:r>
      <w:bookmarkStart w:id="0" w:name="_GoBack"/>
      <w:bookmarkEnd w:id="0"/>
    </w:p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EC"/>
    <w:rsid w:val="001446EC"/>
    <w:rsid w:val="003D3586"/>
    <w:rsid w:val="006E0C27"/>
    <w:rsid w:val="00B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1543</Words>
  <Characters>8800</Characters>
  <Application>Microsoft Office Word</Application>
  <DocSecurity>0</DocSecurity>
  <Lines>73</Lines>
  <Paragraphs>20</Paragraphs>
  <ScaleCrop>false</ScaleCrop>
  <Company/>
  <LinksUpToDate>false</LinksUpToDate>
  <CharactersWithSpaces>10323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Краснов Иван Андреевич</dc:creator>
  <cp:keywords/>
  <dc:description/>
  <cp:lastModifiedBy>Краснов Иван Андреевич</cp:lastModifiedBy>
  <cp:revision>2</cp:revision>
  <dcterms:created xsi:type="dcterms:W3CDTF">2021-05-19T10:42:00Z</dcterms:created>
  <dcterms:modified xsi:type="dcterms:W3CDTF">2021-05-19T10:43:00Z</dcterms:modified>
</cp:coreProperties>
</file>